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EE79" w14:textId="6E382071" w:rsidR="00BC0F74" w:rsidRPr="00787B65" w:rsidRDefault="00BC0F74" w:rsidP="00787B65">
      <w:pPr>
        <w:shd w:val="clear" w:color="auto" w:fill="FFFFFF"/>
        <w:spacing w:line="36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proofErr w:type="spellStart"/>
      <w:r w:rsidRPr="00787B65">
        <w:rPr>
          <w:b/>
          <w:sz w:val="28"/>
        </w:rPr>
        <w:t>Leasys</w:t>
      </w:r>
      <w:proofErr w:type="spellEnd"/>
      <w:r w:rsidRPr="00787B65">
        <w:rPr>
          <w:b/>
          <w:sz w:val="28"/>
        </w:rPr>
        <w:t>, nowy europejski podmiot w branży mobilności</w:t>
      </w:r>
      <w:r w:rsidR="00BE2CDB" w:rsidRPr="00787B65">
        <w:rPr>
          <w:b/>
          <w:sz w:val="28"/>
        </w:rPr>
        <w:t>.</w:t>
      </w:r>
    </w:p>
    <w:p w14:paraId="10247552" w14:textId="77777777" w:rsidR="00BC0F74" w:rsidRPr="00787B65" w:rsidRDefault="00BC0F74" w:rsidP="00BC0F74">
      <w:pPr>
        <w:shd w:val="clear" w:color="auto" w:fill="FFFFFF"/>
        <w:spacing w:line="360" w:lineRule="auto"/>
        <w:jc w:val="both"/>
        <w:rPr>
          <w:rFonts w:eastAsia="Times New Roman" w:cstheme="minorHAnsi"/>
        </w:rPr>
      </w:pPr>
    </w:p>
    <w:p w14:paraId="22203908" w14:textId="1CFEB3E3" w:rsidR="00A12715" w:rsidRPr="00787B65" w:rsidRDefault="00A12715" w:rsidP="00BC0F74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b/>
          <w:bCs/>
        </w:rPr>
      </w:pPr>
      <w:proofErr w:type="spellStart"/>
      <w:r w:rsidRPr="00787B65">
        <w:rPr>
          <w:b/>
        </w:rPr>
        <w:t>Leasys</w:t>
      </w:r>
      <w:proofErr w:type="spellEnd"/>
      <w:r w:rsidRPr="00787B65">
        <w:rPr>
          <w:b/>
        </w:rPr>
        <w:t xml:space="preserve">, specjalizująca się w wielomarkowym leasingu operacyjnym, jest nową spółką w branży mobilności, w której </w:t>
      </w:r>
      <w:proofErr w:type="spellStart"/>
      <w:r w:rsidRPr="00787B65">
        <w:rPr>
          <w:b/>
        </w:rPr>
        <w:t>Stellantis</w:t>
      </w:r>
      <w:proofErr w:type="spellEnd"/>
      <w:r w:rsidRPr="00787B65">
        <w:rPr>
          <w:b/>
        </w:rPr>
        <w:t xml:space="preserve"> i </w:t>
      </w:r>
      <w:proofErr w:type="spellStart"/>
      <w:r w:rsidRPr="00787B65">
        <w:rPr>
          <w:b/>
        </w:rPr>
        <w:t>Crédit</w:t>
      </w:r>
      <w:proofErr w:type="spellEnd"/>
      <w:r w:rsidRPr="00787B65">
        <w:rPr>
          <w:b/>
        </w:rPr>
        <w:t xml:space="preserve"> </w:t>
      </w:r>
      <w:proofErr w:type="spellStart"/>
      <w:r w:rsidRPr="00787B65">
        <w:rPr>
          <w:b/>
        </w:rPr>
        <w:t>Agricole</w:t>
      </w:r>
      <w:proofErr w:type="spellEnd"/>
      <w:r w:rsidRPr="00787B65">
        <w:rPr>
          <w:b/>
        </w:rPr>
        <w:t xml:space="preserve"> Consumer Finance mają po 50% udziałów. </w:t>
      </w:r>
    </w:p>
    <w:p w14:paraId="64B11FE3" w14:textId="7AB82930" w:rsidR="00A12715" w:rsidRPr="00787B65" w:rsidRDefault="00A12715" w:rsidP="00BC0F74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b/>
          <w:bCs/>
        </w:rPr>
      </w:pPr>
      <w:proofErr w:type="spellStart"/>
      <w:r w:rsidRPr="00787B65">
        <w:rPr>
          <w:b/>
        </w:rPr>
        <w:t>Leasys</w:t>
      </w:r>
      <w:proofErr w:type="spellEnd"/>
      <w:r w:rsidRPr="00787B65">
        <w:rPr>
          <w:b/>
        </w:rPr>
        <w:t xml:space="preserve"> to nowa nazwa wybrana dla spółki, która konsoliduje działalność </w:t>
      </w:r>
      <w:proofErr w:type="spellStart"/>
      <w:r w:rsidRPr="00787B65">
        <w:rPr>
          <w:b/>
        </w:rPr>
        <w:t>Leasys</w:t>
      </w:r>
      <w:proofErr w:type="spellEnd"/>
      <w:r w:rsidRPr="00787B65">
        <w:rPr>
          <w:b/>
        </w:rPr>
        <w:t xml:space="preserve"> i Free2move </w:t>
      </w:r>
      <w:proofErr w:type="spellStart"/>
      <w:r w:rsidRPr="00787B65">
        <w:rPr>
          <w:b/>
        </w:rPr>
        <w:t>Lease</w:t>
      </w:r>
      <w:proofErr w:type="spellEnd"/>
      <w:r w:rsidRPr="00787B65">
        <w:rPr>
          <w:b/>
        </w:rPr>
        <w:t xml:space="preserve">. </w:t>
      </w:r>
    </w:p>
    <w:p w14:paraId="0A7529BF" w14:textId="06111F09" w:rsidR="00A12715" w:rsidRPr="00787B65" w:rsidRDefault="00F5055C" w:rsidP="00BC0F74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b/>
          <w:bCs/>
        </w:rPr>
      </w:pPr>
      <w:proofErr w:type="spellStart"/>
      <w:r w:rsidRPr="00787B65">
        <w:rPr>
          <w:b/>
        </w:rPr>
        <w:t>Leasys</w:t>
      </w:r>
      <w:proofErr w:type="spellEnd"/>
      <w:r w:rsidR="00A12715" w:rsidRPr="00787B65">
        <w:rPr>
          <w:b/>
        </w:rPr>
        <w:t xml:space="preserve"> </w:t>
      </w:r>
      <w:r w:rsidRPr="00787B65">
        <w:rPr>
          <w:b/>
        </w:rPr>
        <w:t>j</w:t>
      </w:r>
      <w:r w:rsidR="00A12715" w:rsidRPr="00787B65">
        <w:rPr>
          <w:b/>
        </w:rPr>
        <w:t xml:space="preserve">est obecna w 11 krajach Unii Europejskiej. </w:t>
      </w:r>
    </w:p>
    <w:p w14:paraId="233DD33B" w14:textId="0E239B45" w:rsidR="00A12715" w:rsidRPr="00787B65" w:rsidRDefault="00A12715" w:rsidP="00BC0F74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b/>
          <w:bCs/>
        </w:rPr>
      </w:pPr>
      <w:proofErr w:type="spellStart"/>
      <w:r w:rsidRPr="00787B65">
        <w:rPr>
          <w:b/>
        </w:rPr>
        <w:t>Leasys</w:t>
      </w:r>
      <w:proofErr w:type="spellEnd"/>
      <w:r w:rsidRPr="00787B65">
        <w:rPr>
          <w:b/>
        </w:rPr>
        <w:t xml:space="preserve"> działa pod parasolem </w:t>
      </w:r>
      <w:proofErr w:type="spellStart"/>
      <w:r w:rsidRPr="00787B65">
        <w:rPr>
          <w:b/>
        </w:rPr>
        <w:t>Stellantis</w:t>
      </w:r>
      <w:proofErr w:type="spellEnd"/>
      <w:r w:rsidRPr="00787B65">
        <w:rPr>
          <w:b/>
        </w:rPr>
        <w:t>, z wielomarkową</w:t>
      </w:r>
      <w:r w:rsidR="00F5055C" w:rsidRPr="00787B65">
        <w:rPr>
          <w:b/>
        </w:rPr>
        <w:t xml:space="preserve"> ofertą</w:t>
      </w:r>
      <w:r w:rsidRPr="00787B65">
        <w:rPr>
          <w:b/>
        </w:rPr>
        <w:t xml:space="preserve"> i poprzez różne kanały sprzedaży – sieć </w:t>
      </w:r>
      <w:proofErr w:type="spellStart"/>
      <w:r w:rsidRPr="00787B65">
        <w:rPr>
          <w:b/>
        </w:rPr>
        <w:t>Stellantis</w:t>
      </w:r>
      <w:proofErr w:type="spellEnd"/>
      <w:r w:rsidRPr="00787B65">
        <w:rPr>
          <w:b/>
        </w:rPr>
        <w:t xml:space="preserve">, niezależni brokerzy, sprzedaż bezpośrednia i kanały cyfrowe. </w:t>
      </w:r>
    </w:p>
    <w:p w14:paraId="607BF795" w14:textId="42A477B9" w:rsidR="00A12715" w:rsidRPr="00787B65" w:rsidRDefault="00A12715" w:rsidP="00BC0F74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b/>
          <w:bCs/>
        </w:rPr>
      </w:pPr>
      <w:proofErr w:type="spellStart"/>
      <w:r w:rsidRPr="00787B65">
        <w:rPr>
          <w:b/>
        </w:rPr>
        <w:t>Leasys</w:t>
      </w:r>
      <w:proofErr w:type="spellEnd"/>
      <w:r w:rsidRPr="00787B65">
        <w:rPr>
          <w:b/>
        </w:rPr>
        <w:t xml:space="preserve"> i Free2move </w:t>
      </w:r>
      <w:proofErr w:type="spellStart"/>
      <w:r w:rsidRPr="00787B65">
        <w:rPr>
          <w:b/>
        </w:rPr>
        <w:t>Lease</w:t>
      </w:r>
      <w:proofErr w:type="spellEnd"/>
      <w:r w:rsidRPr="00787B65">
        <w:rPr>
          <w:b/>
        </w:rPr>
        <w:t xml:space="preserve"> z flotą liczącą 828 000 pojazdów tworzą razem piąty największy europejski podmiot w sektorze</w:t>
      </w:r>
      <w:r w:rsidR="00F5055C" w:rsidRPr="00787B65">
        <w:rPr>
          <w:b/>
        </w:rPr>
        <w:t xml:space="preserve">, który ma </w:t>
      </w:r>
      <w:r w:rsidRPr="00787B65">
        <w:rPr>
          <w:b/>
        </w:rPr>
        <w:t xml:space="preserve">ambicje uplasowania się na pozycji europejskiego lidera w zakresie usług mobilności z docelową flotą miliona pojazdów </w:t>
      </w:r>
      <w:r w:rsidR="00F5055C" w:rsidRPr="00787B65">
        <w:rPr>
          <w:b/>
        </w:rPr>
        <w:t>(</w:t>
      </w:r>
      <w:r w:rsidRPr="00787B65">
        <w:rPr>
          <w:b/>
        </w:rPr>
        <w:t>do 2026 roku</w:t>
      </w:r>
      <w:r w:rsidR="00F5055C" w:rsidRPr="00787B65">
        <w:rPr>
          <w:b/>
        </w:rPr>
        <w:t>)</w:t>
      </w:r>
      <w:r w:rsidRPr="00787B65">
        <w:rPr>
          <w:b/>
        </w:rPr>
        <w:t xml:space="preserve">. </w:t>
      </w:r>
    </w:p>
    <w:p w14:paraId="75C90C79" w14:textId="3A91D278" w:rsidR="00737CA6" w:rsidRPr="00787B65" w:rsidRDefault="00A12715" w:rsidP="00737CA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b/>
          <w:bCs/>
        </w:rPr>
      </w:pPr>
      <w:r w:rsidRPr="00787B65">
        <w:rPr>
          <w:b/>
        </w:rPr>
        <w:t xml:space="preserve">Strategią nowej spółki jest oferowanie innowacyjnych rozwiązań w zakresie mobilności, które zapewnią klientom najlepsze doświadczenia. </w:t>
      </w:r>
    </w:p>
    <w:p w14:paraId="1F5FDCBE" w14:textId="0A7A1DCD" w:rsidR="00582A60" w:rsidRPr="00787B65" w:rsidRDefault="00F5055C" w:rsidP="00BC0F74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b/>
          <w:bCs/>
        </w:rPr>
      </w:pPr>
      <w:r w:rsidRPr="00787B65">
        <w:rPr>
          <w:b/>
        </w:rPr>
        <w:t>To właśnie w</w:t>
      </w:r>
      <w:r w:rsidR="00A12715" w:rsidRPr="00787B65">
        <w:rPr>
          <w:b/>
        </w:rPr>
        <w:t xml:space="preserve">ynajem długoterminowy będzie pełnił </w:t>
      </w:r>
      <w:r w:rsidRPr="00787B65">
        <w:rPr>
          <w:b/>
        </w:rPr>
        <w:t xml:space="preserve">rolę „siły napędowej” </w:t>
      </w:r>
      <w:r w:rsidR="00A12715" w:rsidRPr="00787B65">
        <w:rPr>
          <w:b/>
        </w:rPr>
        <w:t xml:space="preserve">podczas przejścia </w:t>
      </w:r>
      <w:r w:rsidRPr="00787B65">
        <w:rPr>
          <w:b/>
        </w:rPr>
        <w:t xml:space="preserve">użytkowników </w:t>
      </w:r>
      <w:r w:rsidR="00A12715" w:rsidRPr="00787B65">
        <w:rPr>
          <w:b/>
        </w:rPr>
        <w:t xml:space="preserve">na </w:t>
      </w:r>
      <w:r w:rsidRPr="00787B65">
        <w:rPr>
          <w:b/>
        </w:rPr>
        <w:t>pojazdy elektryczne</w:t>
      </w:r>
      <w:r w:rsidR="00A12715" w:rsidRPr="00787B65">
        <w:rPr>
          <w:b/>
        </w:rPr>
        <w:t>.</w:t>
      </w:r>
    </w:p>
    <w:p w14:paraId="478CDF03" w14:textId="78D5064E" w:rsidR="00A12715" w:rsidRPr="00787B65" w:rsidRDefault="00A12715" w:rsidP="00BC0F74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b/>
          <w:bCs/>
        </w:rPr>
      </w:pPr>
      <w:proofErr w:type="spellStart"/>
      <w:r w:rsidRPr="00787B65">
        <w:rPr>
          <w:b/>
        </w:rPr>
        <w:t>Leasys</w:t>
      </w:r>
      <w:proofErr w:type="spellEnd"/>
      <w:r w:rsidRPr="00787B65">
        <w:rPr>
          <w:b/>
        </w:rPr>
        <w:t xml:space="preserve"> oferuje szeroką gamę produktów i usług, od najbardziej tradycyjnych po najbardziej innowacyjne, w tym Be </w:t>
      </w:r>
      <w:proofErr w:type="spellStart"/>
      <w:r w:rsidRPr="00787B65">
        <w:rPr>
          <w:b/>
        </w:rPr>
        <w:t>free</w:t>
      </w:r>
      <w:proofErr w:type="spellEnd"/>
      <w:r w:rsidRPr="00787B65">
        <w:rPr>
          <w:b/>
        </w:rPr>
        <w:t xml:space="preserve"> (bezpłatne wyjście z programu po 12 miesiącach), Miles (płatność na podstawie wykorzystania) i </w:t>
      </w:r>
      <w:proofErr w:type="spellStart"/>
      <w:r w:rsidRPr="00787B65">
        <w:rPr>
          <w:b/>
        </w:rPr>
        <w:t>Unlimited</w:t>
      </w:r>
      <w:proofErr w:type="spellEnd"/>
      <w:r w:rsidRPr="00787B65">
        <w:rPr>
          <w:b/>
        </w:rPr>
        <w:t xml:space="preserve"> (nielimitowany przebieg), przeznaczone dla B2B i B2C z podejściem wielomarkowym i wielokanałowym. </w:t>
      </w:r>
    </w:p>
    <w:p w14:paraId="4D9DBE71" w14:textId="7161F197" w:rsidR="00390299" w:rsidRPr="00787B65" w:rsidRDefault="00A12715" w:rsidP="00787B65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Segoe UI" w:hAnsi="Segoe UI" w:cs="Segoe UI"/>
          <w:color w:val="374151"/>
          <w:shd w:val="clear" w:color="auto" w:fill="F7F7F8"/>
        </w:rPr>
      </w:pPr>
      <w:r w:rsidRPr="00787B65">
        <w:rPr>
          <w:b/>
        </w:rPr>
        <w:t>„Wybór Nowej Mobilności” to hasło</w:t>
      </w:r>
      <w:r w:rsidR="00F5055C" w:rsidRPr="00787B65">
        <w:rPr>
          <w:b/>
        </w:rPr>
        <w:t xml:space="preserve"> przewodnie</w:t>
      </w:r>
      <w:r w:rsidRPr="00787B65">
        <w:rPr>
          <w:b/>
        </w:rPr>
        <w:t xml:space="preserve"> now</w:t>
      </w:r>
      <w:r w:rsidR="00F5055C" w:rsidRPr="00787B65">
        <w:rPr>
          <w:b/>
        </w:rPr>
        <w:t>opowstałej</w:t>
      </w:r>
      <w:r w:rsidRPr="00787B65">
        <w:rPr>
          <w:b/>
        </w:rPr>
        <w:t xml:space="preserve"> spółki,</w:t>
      </w:r>
      <w:r w:rsidR="00F5055C" w:rsidRPr="00787B65">
        <w:rPr>
          <w:b/>
        </w:rPr>
        <w:t xml:space="preserve"> to</w:t>
      </w:r>
      <w:r w:rsidRPr="00787B65">
        <w:rPr>
          <w:b/>
        </w:rPr>
        <w:t xml:space="preserve"> przejrzysta i wiarygodna obietnica marki dla klientów.</w:t>
      </w:r>
    </w:p>
    <w:p w14:paraId="6292DF02" w14:textId="557E3088" w:rsidR="00F5055C" w:rsidRPr="00787B65" w:rsidRDefault="00F5055C" w:rsidP="00582A60">
      <w:pPr>
        <w:spacing w:line="360" w:lineRule="auto"/>
        <w:contextualSpacing/>
        <w:jc w:val="both"/>
      </w:pPr>
    </w:p>
    <w:p w14:paraId="5EEA0CBC" w14:textId="2016803E" w:rsidR="00F5055C" w:rsidRPr="00787B65" w:rsidRDefault="00F5055C" w:rsidP="00787B65">
      <w:pPr>
        <w:spacing w:line="360" w:lineRule="auto"/>
        <w:jc w:val="both"/>
        <w:rPr>
          <w:b/>
          <w:bCs/>
        </w:rPr>
      </w:pPr>
      <w:r w:rsidRPr="00787B65">
        <w:t>Dziś (05.04</w:t>
      </w:r>
      <w:r w:rsidR="00BE2CDB" w:rsidRPr="00787B65">
        <w:t>.2023</w:t>
      </w:r>
      <w:r w:rsidRPr="00787B65">
        <w:t xml:space="preserve">) </w:t>
      </w:r>
      <w:r w:rsidR="00BC0F74" w:rsidRPr="00787B65">
        <w:t xml:space="preserve">miała miejsce międzynarodowa prezentacja </w:t>
      </w:r>
      <w:proofErr w:type="spellStart"/>
      <w:r w:rsidR="00BC0F74" w:rsidRPr="00787B65">
        <w:t>Leasys</w:t>
      </w:r>
      <w:proofErr w:type="spellEnd"/>
      <w:r w:rsidR="00BC0F74" w:rsidRPr="00787B65">
        <w:t xml:space="preserve">, nowej spółki w branży mobilności, specjalizującej się w operacyjnym leasingu wielomarkowym, której współwłaścicielami są </w:t>
      </w:r>
      <w:proofErr w:type="spellStart"/>
      <w:r w:rsidR="00BC0F74" w:rsidRPr="00787B65">
        <w:t>Stellantis</w:t>
      </w:r>
      <w:proofErr w:type="spellEnd"/>
      <w:r w:rsidR="00BC0F74" w:rsidRPr="00787B65">
        <w:t xml:space="preserve"> i </w:t>
      </w:r>
      <w:proofErr w:type="spellStart"/>
      <w:r w:rsidR="00BC0F74" w:rsidRPr="00787B65">
        <w:t>Crédit</w:t>
      </w:r>
      <w:proofErr w:type="spellEnd"/>
      <w:r w:rsidR="00BC0F74" w:rsidRPr="00787B65">
        <w:t xml:space="preserve"> </w:t>
      </w:r>
      <w:proofErr w:type="spellStart"/>
      <w:r w:rsidR="00BC0F74" w:rsidRPr="00787B65">
        <w:t>Agricole</w:t>
      </w:r>
      <w:proofErr w:type="spellEnd"/>
      <w:r w:rsidR="00BC0F74" w:rsidRPr="00787B65">
        <w:t xml:space="preserve">. </w:t>
      </w:r>
      <w:proofErr w:type="spellStart"/>
      <w:r w:rsidRPr="00787B65">
        <w:rPr>
          <w:b/>
        </w:rPr>
        <w:t>Leasys</w:t>
      </w:r>
      <w:proofErr w:type="spellEnd"/>
      <w:r w:rsidRPr="00787B65">
        <w:rPr>
          <w:b/>
        </w:rPr>
        <w:t xml:space="preserve"> i Free2move </w:t>
      </w:r>
      <w:proofErr w:type="spellStart"/>
      <w:r w:rsidRPr="00787B65">
        <w:rPr>
          <w:b/>
        </w:rPr>
        <w:t>Lease</w:t>
      </w:r>
      <w:proofErr w:type="spellEnd"/>
      <w:r w:rsidRPr="00787B65">
        <w:rPr>
          <w:b/>
        </w:rPr>
        <w:t xml:space="preserve"> z flotą liczącą 828 000 pojazdów tworzą razem piąty największy europejski podmiot w sektorze, który ma ambicje uplasowania się na pozycji europejskiego lidera w zakresie usług mobilności z docelową flotą miliona pojazdów (do 2026 roku). </w:t>
      </w:r>
    </w:p>
    <w:p w14:paraId="0912E208" w14:textId="77777777" w:rsidR="00C76519" w:rsidRPr="00787B65" w:rsidRDefault="00C76519" w:rsidP="00582A60">
      <w:pPr>
        <w:spacing w:line="360" w:lineRule="auto"/>
        <w:contextualSpacing/>
        <w:jc w:val="both"/>
        <w:rPr>
          <w:rFonts w:eastAsia="Times New Roman"/>
        </w:rPr>
      </w:pPr>
    </w:p>
    <w:p w14:paraId="67B79546" w14:textId="38A3E59C" w:rsidR="00BC0F74" w:rsidRPr="00787B65" w:rsidRDefault="00787B65" w:rsidP="00BC0F74">
      <w:pPr>
        <w:pStyle w:val="SDatePlace"/>
        <w:spacing w:after="0" w:line="360" w:lineRule="auto"/>
        <w:jc w:val="both"/>
        <w:rPr>
          <w:rFonts w:ascii="Arial" w:eastAsia="Times New Roman" w:hAnsi="Arial" w:cs="Arial"/>
          <w:sz w:val="18"/>
          <w:lang w:eastAsia="it-IT"/>
        </w:rPr>
      </w:pPr>
      <w:r w:rsidRPr="00787B65">
        <w:rPr>
          <w:rFonts w:ascii="Arial" w:hAnsi="Arial"/>
          <w:sz w:val="18"/>
        </w:rPr>
        <w:t>Konferencja</w:t>
      </w:r>
      <w:r w:rsidR="003472F8" w:rsidRPr="00787B65">
        <w:rPr>
          <w:rFonts w:ascii="Arial" w:hAnsi="Arial"/>
          <w:sz w:val="18"/>
        </w:rPr>
        <w:t xml:space="preserve"> online, która została zorganizowana w celu ogłoszenia konsolidacji Spółek,</w:t>
      </w:r>
      <w:r w:rsidR="00BE2CDB" w:rsidRPr="00787B65">
        <w:rPr>
          <w:rFonts w:ascii="Arial" w:hAnsi="Arial"/>
          <w:sz w:val="18"/>
        </w:rPr>
        <w:t xml:space="preserve"> odbyła się</w:t>
      </w:r>
      <w:r w:rsidR="00BC0F74" w:rsidRPr="00787B65">
        <w:rPr>
          <w:rFonts w:ascii="Arial" w:hAnsi="Arial"/>
          <w:sz w:val="18"/>
        </w:rPr>
        <w:t xml:space="preserve"> jednocześnie w Rzymie i Paryżu i by</w:t>
      </w:r>
      <w:r w:rsidR="00BE2CDB" w:rsidRPr="00787B65">
        <w:rPr>
          <w:rFonts w:ascii="Arial" w:hAnsi="Arial"/>
          <w:sz w:val="18"/>
        </w:rPr>
        <w:t>ł</w:t>
      </w:r>
      <w:r w:rsidR="003472F8" w:rsidRPr="00787B65">
        <w:rPr>
          <w:rFonts w:ascii="Arial" w:hAnsi="Arial"/>
          <w:sz w:val="18"/>
        </w:rPr>
        <w:t>a</w:t>
      </w:r>
      <w:r w:rsidR="00BC0F74" w:rsidRPr="00787B65">
        <w:rPr>
          <w:rFonts w:ascii="Arial" w:hAnsi="Arial"/>
          <w:sz w:val="18"/>
        </w:rPr>
        <w:t xml:space="preserve"> transmitowan</w:t>
      </w:r>
      <w:r w:rsidR="003472F8" w:rsidRPr="00787B65">
        <w:rPr>
          <w:rFonts w:ascii="Arial" w:hAnsi="Arial"/>
          <w:sz w:val="18"/>
        </w:rPr>
        <w:t>a</w:t>
      </w:r>
      <w:r w:rsidR="00BC0F74" w:rsidRPr="00787B65">
        <w:rPr>
          <w:rFonts w:ascii="Arial" w:hAnsi="Arial"/>
          <w:sz w:val="18"/>
        </w:rPr>
        <w:t xml:space="preserve"> w 11 krajach europejskich, w których </w:t>
      </w:r>
      <w:r w:rsidR="003472F8" w:rsidRPr="00787B65">
        <w:rPr>
          <w:rFonts w:ascii="Arial" w:hAnsi="Arial"/>
          <w:sz w:val="18"/>
        </w:rPr>
        <w:t xml:space="preserve">Spółka </w:t>
      </w:r>
      <w:r w:rsidR="00BC0F74" w:rsidRPr="00787B65">
        <w:rPr>
          <w:rFonts w:ascii="Arial" w:hAnsi="Arial"/>
          <w:sz w:val="18"/>
        </w:rPr>
        <w:t xml:space="preserve">prowadzi działalność. Ze stolicy Francji połączyli się Philippe de </w:t>
      </w:r>
      <w:proofErr w:type="spellStart"/>
      <w:r w:rsidR="00BC0F74" w:rsidRPr="00787B65">
        <w:rPr>
          <w:rFonts w:ascii="Arial" w:hAnsi="Arial"/>
          <w:sz w:val="18"/>
        </w:rPr>
        <w:t>Rovira</w:t>
      </w:r>
      <w:proofErr w:type="spellEnd"/>
      <w:r w:rsidR="00BC0F74" w:rsidRPr="00787B65">
        <w:rPr>
          <w:rFonts w:ascii="Arial" w:hAnsi="Arial"/>
          <w:sz w:val="18"/>
        </w:rPr>
        <w:t xml:space="preserve">, Chief </w:t>
      </w:r>
      <w:proofErr w:type="spellStart"/>
      <w:r w:rsidR="00BC0F74" w:rsidRPr="00787B65">
        <w:rPr>
          <w:rFonts w:ascii="Arial" w:hAnsi="Arial"/>
          <w:sz w:val="18"/>
        </w:rPr>
        <w:t>Affiliates</w:t>
      </w:r>
      <w:proofErr w:type="spellEnd"/>
      <w:r w:rsidR="00BC0F74" w:rsidRPr="00787B65">
        <w:rPr>
          <w:rFonts w:ascii="Arial" w:hAnsi="Arial"/>
          <w:sz w:val="18"/>
        </w:rPr>
        <w:t xml:space="preserve"> </w:t>
      </w:r>
      <w:proofErr w:type="spellStart"/>
      <w:r w:rsidR="00BC0F74" w:rsidRPr="00787B65">
        <w:rPr>
          <w:rFonts w:ascii="Arial" w:hAnsi="Arial"/>
          <w:sz w:val="18"/>
        </w:rPr>
        <w:t>Officer</w:t>
      </w:r>
      <w:proofErr w:type="spellEnd"/>
      <w:r w:rsidR="00BC0F74" w:rsidRPr="00787B65">
        <w:rPr>
          <w:rFonts w:ascii="Arial" w:hAnsi="Arial"/>
          <w:sz w:val="18"/>
        </w:rPr>
        <w:t xml:space="preserve"> firmy </w:t>
      </w:r>
      <w:proofErr w:type="spellStart"/>
      <w:r w:rsidR="00BC0F74" w:rsidRPr="00787B65">
        <w:rPr>
          <w:rFonts w:ascii="Arial" w:hAnsi="Arial"/>
          <w:sz w:val="18"/>
        </w:rPr>
        <w:t>Stellantis</w:t>
      </w:r>
      <w:proofErr w:type="spellEnd"/>
      <w:r>
        <w:rPr>
          <w:rFonts w:ascii="Arial" w:hAnsi="Arial"/>
          <w:sz w:val="18"/>
        </w:rPr>
        <w:t xml:space="preserve"> </w:t>
      </w:r>
      <w:r w:rsidR="00BC0F74" w:rsidRPr="00787B65">
        <w:rPr>
          <w:rFonts w:ascii="Arial" w:hAnsi="Arial"/>
          <w:sz w:val="18"/>
        </w:rPr>
        <w:t xml:space="preserve">oraz </w:t>
      </w:r>
      <w:proofErr w:type="spellStart"/>
      <w:r w:rsidR="00BC0F74" w:rsidRPr="00787B65">
        <w:rPr>
          <w:rFonts w:ascii="Arial" w:hAnsi="Arial"/>
          <w:sz w:val="18"/>
        </w:rPr>
        <w:t>Stéphane</w:t>
      </w:r>
      <w:proofErr w:type="spellEnd"/>
      <w:r w:rsidR="00BC0F74" w:rsidRPr="00787B65">
        <w:rPr>
          <w:rFonts w:ascii="Arial" w:hAnsi="Arial"/>
          <w:sz w:val="18"/>
        </w:rPr>
        <w:t xml:space="preserve"> </w:t>
      </w:r>
      <w:proofErr w:type="spellStart"/>
      <w:r w:rsidR="00BC0F74" w:rsidRPr="00787B65">
        <w:rPr>
          <w:rFonts w:ascii="Arial" w:hAnsi="Arial"/>
          <w:sz w:val="18"/>
        </w:rPr>
        <w:t>Priami</w:t>
      </w:r>
      <w:proofErr w:type="spellEnd"/>
      <w:r w:rsidR="00BC0F74" w:rsidRPr="00787B65">
        <w:rPr>
          <w:rFonts w:ascii="Arial" w:hAnsi="Arial"/>
          <w:sz w:val="18"/>
        </w:rPr>
        <w:t xml:space="preserve">, zastępca dyrektora generalnego </w:t>
      </w:r>
      <w:proofErr w:type="spellStart"/>
      <w:r w:rsidR="00BC0F74" w:rsidRPr="00787B65">
        <w:rPr>
          <w:rFonts w:ascii="Arial" w:hAnsi="Arial"/>
          <w:sz w:val="18"/>
        </w:rPr>
        <w:t>Crédit</w:t>
      </w:r>
      <w:proofErr w:type="spellEnd"/>
      <w:r w:rsidR="00BC0F74" w:rsidRPr="00787B65">
        <w:rPr>
          <w:rFonts w:ascii="Arial" w:hAnsi="Arial"/>
          <w:sz w:val="18"/>
        </w:rPr>
        <w:t xml:space="preserve"> </w:t>
      </w:r>
      <w:proofErr w:type="spellStart"/>
      <w:r w:rsidR="00BC0F74" w:rsidRPr="00787B65">
        <w:rPr>
          <w:rFonts w:ascii="Arial" w:hAnsi="Arial"/>
          <w:sz w:val="18"/>
        </w:rPr>
        <w:t>Agricole</w:t>
      </w:r>
      <w:proofErr w:type="spellEnd"/>
      <w:r w:rsidR="00BC0F74" w:rsidRPr="00787B65">
        <w:rPr>
          <w:rFonts w:ascii="Arial" w:hAnsi="Arial"/>
          <w:sz w:val="18"/>
        </w:rPr>
        <w:t xml:space="preserve"> S.A., odpowiedzialny za usługi finansowe. Natomiast Richard </w:t>
      </w:r>
      <w:proofErr w:type="spellStart"/>
      <w:r w:rsidR="00BC0F74" w:rsidRPr="00787B65">
        <w:rPr>
          <w:rFonts w:ascii="Arial" w:hAnsi="Arial"/>
          <w:sz w:val="18"/>
        </w:rPr>
        <w:t>Bouligny</w:t>
      </w:r>
      <w:proofErr w:type="spellEnd"/>
      <w:r w:rsidR="00BC0F74" w:rsidRPr="00787B65">
        <w:rPr>
          <w:rFonts w:ascii="Arial" w:hAnsi="Arial"/>
          <w:sz w:val="18"/>
        </w:rPr>
        <w:t xml:space="preserve"> i </w:t>
      </w:r>
      <w:proofErr w:type="spellStart"/>
      <w:r w:rsidR="00BC0F74" w:rsidRPr="00787B65">
        <w:rPr>
          <w:rFonts w:ascii="Arial" w:hAnsi="Arial"/>
          <w:sz w:val="18"/>
        </w:rPr>
        <w:t>Rolando</w:t>
      </w:r>
      <w:proofErr w:type="spellEnd"/>
      <w:r w:rsidR="00BC0F74" w:rsidRPr="00787B65">
        <w:rPr>
          <w:rFonts w:ascii="Arial" w:hAnsi="Arial"/>
          <w:sz w:val="18"/>
        </w:rPr>
        <w:t xml:space="preserve"> </w:t>
      </w:r>
      <w:proofErr w:type="spellStart"/>
      <w:r w:rsidR="00BC0F74" w:rsidRPr="00787B65">
        <w:rPr>
          <w:rFonts w:ascii="Arial" w:hAnsi="Arial"/>
          <w:sz w:val="18"/>
        </w:rPr>
        <w:t>D’Arco</w:t>
      </w:r>
      <w:proofErr w:type="spellEnd"/>
      <w:r w:rsidR="00BC0F74" w:rsidRPr="00787B65">
        <w:rPr>
          <w:rFonts w:ascii="Arial" w:hAnsi="Arial"/>
          <w:sz w:val="18"/>
        </w:rPr>
        <w:t xml:space="preserve">, odpowiednio prezes i dyrektor generalny </w:t>
      </w:r>
      <w:proofErr w:type="spellStart"/>
      <w:r w:rsidR="00BC0F74" w:rsidRPr="00787B65">
        <w:rPr>
          <w:rFonts w:ascii="Arial" w:hAnsi="Arial"/>
          <w:sz w:val="18"/>
        </w:rPr>
        <w:t>Leasys</w:t>
      </w:r>
      <w:proofErr w:type="spellEnd"/>
      <w:r w:rsidR="00BC0F74" w:rsidRPr="00787B65">
        <w:rPr>
          <w:rFonts w:ascii="Arial" w:hAnsi="Arial"/>
          <w:sz w:val="18"/>
        </w:rPr>
        <w:t>, zabrali głos z Rzymu.</w:t>
      </w:r>
    </w:p>
    <w:p w14:paraId="0F5E2130" w14:textId="0C42F0F8" w:rsidR="00BC0F74" w:rsidRPr="00787B65" w:rsidRDefault="00BC0F74" w:rsidP="00BC0F74">
      <w:pPr>
        <w:spacing w:line="360" w:lineRule="auto"/>
        <w:jc w:val="both"/>
        <w:rPr>
          <w:rFonts w:eastAsia="Times New Roman"/>
        </w:rPr>
      </w:pPr>
      <w:r w:rsidRPr="00787B65">
        <w:lastRenderedPageBreak/>
        <w:t xml:space="preserve">Nowa </w:t>
      </w:r>
      <w:r w:rsidR="003472F8" w:rsidRPr="00787B65">
        <w:t>S</w:t>
      </w:r>
      <w:r w:rsidRPr="00787B65">
        <w:t xml:space="preserve">półka łączy to, co najlepsze w </w:t>
      </w:r>
      <w:proofErr w:type="spellStart"/>
      <w:r w:rsidRPr="00787B65">
        <w:t>Leasys</w:t>
      </w:r>
      <w:proofErr w:type="spellEnd"/>
      <w:r w:rsidRPr="00787B65">
        <w:t xml:space="preserve"> i Free2move </w:t>
      </w:r>
      <w:proofErr w:type="spellStart"/>
      <w:r w:rsidRPr="00787B65">
        <w:t>Lease</w:t>
      </w:r>
      <w:proofErr w:type="spellEnd"/>
      <w:r w:rsidRPr="00787B65">
        <w:t xml:space="preserve">, dwóch firmach, które prowadzą działalność na rynku </w:t>
      </w:r>
      <w:r w:rsidR="003472F8" w:rsidRPr="00787B65">
        <w:t>motoryzacyjnym</w:t>
      </w:r>
      <w:r w:rsidRPr="00787B65">
        <w:t xml:space="preserve">, pozycjonując się wśród największych europejskich podmiotów w tym sektorze. Jednakże ta konsolidacja to coś więcej niż suma jej części. W rzeczywistości jest to </w:t>
      </w:r>
      <w:proofErr w:type="spellStart"/>
      <w:r w:rsidRPr="00787B65">
        <w:t>upgrade</w:t>
      </w:r>
      <w:proofErr w:type="spellEnd"/>
      <w:r w:rsidRPr="00787B65">
        <w:t xml:space="preserve"> w pełnym tego słowa znaczeniu, oferujący innowacyjne produkty, wysokiej jakości usługi i platformy cyfrowe dla międzynarodowych klientów korporacyjnych oraz małych i średnich przedsiębiorstw.</w:t>
      </w:r>
    </w:p>
    <w:p w14:paraId="2F413288" w14:textId="77777777" w:rsidR="00C76519" w:rsidRPr="00787B65" w:rsidRDefault="00C76519" w:rsidP="00BC0F74">
      <w:pPr>
        <w:spacing w:line="360" w:lineRule="auto"/>
        <w:jc w:val="both"/>
        <w:rPr>
          <w:rFonts w:eastAsia="Times New Roman"/>
        </w:rPr>
      </w:pPr>
    </w:p>
    <w:p w14:paraId="47A14171" w14:textId="24DDB9CD" w:rsidR="00536D41" w:rsidRPr="00787B65" w:rsidRDefault="00536D41" w:rsidP="00536D41">
      <w:pPr>
        <w:spacing w:line="360" w:lineRule="auto"/>
        <w:jc w:val="both"/>
        <w:rPr>
          <w:rFonts w:eastAsia="Times New Roman"/>
        </w:rPr>
      </w:pPr>
      <w:r w:rsidRPr="00787B65">
        <w:t xml:space="preserve">Rozwiązania mobilne </w:t>
      </w:r>
      <w:proofErr w:type="spellStart"/>
      <w:r w:rsidRPr="00787B65">
        <w:t>Leasys</w:t>
      </w:r>
      <w:proofErr w:type="spellEnd"/>
      <w:r w:rsidRPr="00787B65">
        <w:t xml:space="preserve"> dostępne są dla wszystkich 14 marek </w:t>
      </w:r>
      <w:proofErr w:type="spellStart"/>
      <w:r w:rsidRPr="00787B65">
        <w:t>Stellantis</w:t>
      </w:r>
      <w:proofErr w:type="spellEnd"/>
      <w:r w:rsidRPr="00787B65">
        <w:t xml:space="preserve"> poprzez różne kanały sprzedaży</w:t>
      </w:r>
      <w:r w:rsidR="00CD5AF0" w:rsidRPr="00787B65">
        <w:t>.</w:t>
      </w:r>
      <w:r w:rsidRPr="00787B65">
        <w:t xml:space="preserve"> </w:t>
      </w:r>
      <w:r w:rsidR="00E17AC7" w:rsidRPr="00787B65">
        <w:t xml:space="preserve">Ponadto nowa firma zapewni synergię dla </w:t>
      </w:r>
      <w:proofErr w:type="spellStart"/>
      <w:r w:rsidR="00E17AC7" w:rsidRPr="00787B65">
        <w:t>Stellantis</w:t>
      </w:r>
      <w:proofErr w:type="spellEnd"/>
      <w:r w:rsidR="00E17AC7" w:rsidRPr="00787B65">
        <w:t xml:space="preserve"> i innych spółek w ramach Grupy oraz jeden punkt kontaktu.</w:t>
      </w:r>
    </w:p>
    <w:p w14:paraId="6D8984A1" w14:textId="77777777" w:rsidR="00C76519" w:rsidRPr="00787B65" w:rsidRDefault="00C76519" w:rsidP="00536D41">
      <w:pPr>
        <w:spacing w:line="360" w:lineRule="auto"/>
        <w:jc w:val="both"/>
        <w:rPr>
          <w:rFonts w:eastAsia="Times New Roman"/>
        </w:rPr>
      </w:pPr>
    </w:p>
    <w:p w14:paraId="42CA6315" w14:textId="02AC6153" w:rsidR="00737CA6" w:rsidRPr="00787B65" w:rsidRDefault="00737CA6" w:rsidP="00536D41">
      <w:pPr>
        <w:spacing w:line="360" w:lineRule="auto"/>
        <w:jc w:val="both"/>
        <w:rPr>
          <w:rFonts w:eastAsia="Times New Roman"/>
        </w:rPr>
      </w:pPr>
      <w:proofErr w:type="spellStart"/>
      <w:r w:rsidRPr="00787B65">
        <w:t>Rolando</w:t>
      </w:r>
      <w:proofErr w:type="spellEnd"/>
      <w:r w:rsidRPr="00787B65">
        <w:t xml:space="preserve"> </w:t>
      </w:r>
      <w:proofErr w:type="spellStart"/>
      <w:r w:rsidRPr="00787B65">
        <w:t>D’Arco</w:t>
      </w:r>
      <w:proofErr w:type="spellEnd"/>
      <w:r w:rsidRPr="00787B65">
        <w:t xml:space="preserve">, dyrektor generalny </w:t>
      </w:r>
      <w:proofErr w:type="spellStart"/>
      <w:r w:rsidRPr="00787B65">
        <w:t>Leasys</w:t>
      </w:r>
      <w:proofErr w:type="spellEnd"/>
      <w:r w:rsidRPr="00787B65">
        <w:t xml:space="preserve">, skomentował: </w:t>
      </w:r>
      <w:r w:rsidRPr="00787B65">
        <w:rPr>
          <w:i/>
          <w:iCs/>
        </w:rPr>
        <w:t>„Mając ambicję stania się jednym z wiodących podmiotów w Europie, opracowaliśmy solidny i odważny plan biznesowy. Jesteśmy pewni, że nasza flota osiągnie do 2026 roku liczbę miliona pojazdów, zwiększając swoją wartość o 50%. Ponadto przewidujemy, że w ciągu najbliższych czterech lat nasza międzynarodowa struktura organizacyjna wzrośnie o około 30%</w:t>
      </w:r>
      <w:r w:rsidR="00CD5AF0" w:rsidRPr="00787B65">
        <w:rPr>
          <w:i/>
          <w:iCs/>
        </w:rPr>
        <w:t>.</w:t>
      </w:r>
      <w:r w:rsidRPr="00787B65">
        <w:rPr>
          <w:i/>
          <w:iCs/>
        </w:rPr>
        <w:t xml:space="preserve"> Te liczby </w:t>
      </w:r>
      <w:r w:rsidR="00CD5AF0" w:rsidRPr="00787B65">
        <w:rPr>
          <w:i/>
          <w:iCs/>
        </w:rPr>
        <w:t>pokazują</w:t>
      </w:r>
      <w:r w:rsidRPr="00787B65">
        <w:rPr>
          <w:i/>
          <w:iCs/>
        </w:rPr>
        <w:t xml:space="preserve">, że połączenie </w:t>
      </w:r>
      <w:proofErr w:type="spellStart"/>
      <w:r w:rsidRPr="00787B65">
        <w:rPr>
          <w:i/>
          <w:iCs/>
        </w:rPr>
        <w:t>Leasys</w:t>
      </w:r>
      <w:proofErr w:type="spellEnd"/>
      <w:r w:rsidRPr="00787B65">
        <w:rPr>
          <w:i/>
          <w:iCs/>
        </w:rPr>
        <w:t xml:space="preserve"> i Free2Move </w:t>
      </w:r>
      <w:proofErr w:type="spellStart"/>
      <w:r w:rsidRPr="00787B65">
        <w:rPr>
          <w:i/>
          <w:iCs/>
        </w:rPr>
        <w:t>Lease</w:t>
      </w:r>
      <w:proofErr w:type="spellEnd"/>
      <w:r w:rsidRPr="00787B65">
        <w:rPr>
          <w:i/>
          <w:iCs/>
        </w:rPr>
        <w:t xml:space="preserve"> </w:t>
      </w:r>
      <w:r w:rsidR="00C07CBD" w:rsidRPr="00787B65">
        <w:rPr>
          <w:i/>
          <w:iCs/>
        </w:rPr>
        <w:t>nastawione jest na</w:t>
      </w:r>
      <w:r w:rsidRPr="00787B65">
        <w:rPr>
          <w:i/>
          <w:iCs/>
        </w:rPr>
        <w:t xml:space="preserve"> stałą trajektorię wzrostu”.</w:t>
      </w:r>
    </w:p>
    <w:p w14:paraId="123EEE6D" w14:textId="77777777" w:rsidR="00BC0F74" w:rsidRPr="00787B65" w:rsidRDefault="00BC0F74" w:rsidP="00BC0F74">
      <w:pPr>
        <w:spacing w:line="360" w:lineRule="auto"/>
        <w:contextualSpacing/>
        <w:jc w:val="both"/>
        <w:rPr>
          <w:rFonts w:eastAsia="Times New Roman"/>
        </w:rPr>
      </w:pPr>
    </w:p>
    <w:p w14:paraId="134D8811" w14:textId="77777777" w:rsidR="00BC0F74" w:rsidRPr="00787B65" w:rsidRDefault="00BC0F74" w:rsidP="00BC0F74">
      <w:pPr>
        <w:rPr>
          <w:b/>
          <w:bCs/>
          <w:iCs/>
        </w:rPr>
      </w:pPr>
      <w:r w:rsidRPr="00787B65">
        <w:rPr>
          <w:b/>
          <w:iCs/>
        </w:rPr>
        <w:t xml:space="preserve">Wynajem długoterminowy i leasing operacyjny jako „koła napędowe” przejścia na elektryfikację </w:t>
      </w:r>
    </w:p>
    <w:p w14:paraId="2069BE0F" w14:textId="15CC9B0A" w:rsidR="00BC0F74" w:rsidRPr="00787B65" w:rsidRDefault="00BC0F74" w:rsidP="00BC0F74">
      <w:pPr>
        <w:spacing w:line="360" w:lineRule="auto"/>
        <w:contextualSpacing/>
        <w:jc w:val="both"/>
      </w:pPr>
      <w:proofErr w:type="spellStart"/>
      <w:r w:rsidRPr="00787B65">
        <w:t>Leasys</w:t>
      </w:r>
      <w:proofErr w:type="spellEnd"/>
      <w:r w:rsidRPr="00787B65">
        <w:t xml:space="preserve"> zapewnia </w:t>
      </w:r>
      <w:r w:rsidR="00C07CBD" w:rsidRPr="00787B65">
        <w:t>dużo większy</w:t>
      </w:r>
      <w:r w:rsidRPr="00787B65">
        <w:t xml:space="preserve"> wybór, dzięki czemu wynajem długoterminowy jest prawdziwą alternatywą dla zakupu pojazdu. Chociaż </w:t>
      </w:r>
      <w:r w:rsidR="00C07CBD" w:rsidRPr="00787B65">
        <w:t xml:space="preserve">ta forma </w:t>
      </w:r>
      <w:r w:rsidRPr="00787B65">
        <w:t>wynaj</w:t>
      </w:r>
      <w:r w:rsidR="00C07CBD" w:rsidRPr="00787B65">
        <w:t xml:space="preserve">mu </w:t>
      </w:r>
      <w:r w:rsidRPr="00787B65">
        <w:t>znan</w:t>
      </w:r>
      <w:r w:rsidR="00C07CBD" w:rsidRPr="00787B65">
        <w:t>a</w:t>
      </w:r>
      <w:r w:rsidRPr="00787B65">
        <w:t xml:space="preserve"> jest od wielu lat, a rynek europejski wskazuje na pozytywny trend wzrostowy w przyszłości, nowa spółka przekształca go w zupełnie nowy zasób. Według badania przeprowadzonego przez firmę Frost &amp; Sullivan, całkowita liczba umów leasingu i wynajmu aktywowanych w Europie odnotowała wzrost o 6,2% w 2022 roku, a według szacunków głównych instytucji zajmujących się samochodami, w ciągu 2023 roku ponownie wzrośnie, przede wszystkim dzięki sektorowi pojazdów zelektryfikowanych. W rzeczy samej, pomimo pandemii, liczba umów leasingowych na pojazdy przyjazne środowisku podwoiła się z ponad 400 000 do ponad 840 000. Ten pozytywny trend potwierdza to, co było już widoczne w latach 2020 – 2022. Dokładnym wyjaśnieniem tego wzrostu są formuły finansowania (leasing tradycyjny, leasing operacyjny i wynajem długoterminowy) – najlepsze wybory do stawienia czoła złożonym i zmieniającym się scenariuszom, takim jak przejście na pojazdy zelektryfikowane.</w:t>
      </w:r>
      <w:r w:rsidRPr="00787B65">
        <w:rPr>
          <w:shd w:val="clear" w:color="auto" w:fill="FFFFFF"/>
        </w:rPr>
        <w:t xml:space="preserve"> W szczególności</w:t>
      </w:r>
      <w:r w:rsidRPr="00787B65">
        <w:t xml:space="preserve"> globalne nakierowanie na zrównoważony rozwój środowiska wpływa na coraz większy segment sektora wynajmu długoterminowego, ponieważ stanowi on doskonałe rozwiązanie dla wypróbowania</w:t>
      </w:r>
      <w:r w:rsidRPr="00787B65">
        <w:rPr>
          <w:i/>
        </w:rPr>
        <w:t xml:space="preserve"> </w:t>
      </w:r>
      <w:r w:rsidRPr="00787B65">
        <w:t xml:space="preserve">pojazdów ekologicznych przy jednoczesnym zmniejszeniu ryzyka związanego z kosztami i nieprzewidzianymi sytuacjami oraz zapewnieniu </w:t>
      </w:r>
      <w:r w:rsidR="00C07CBD" w:rsidRPr="00787B65">
        <w:t>swobodneg</w:t>
      </w:r>
      <w:r w:rsidRPr="00787B65">
        <w:t xml:space="preserve">o dostępu do tego rodzaju pojazdów. Ponadto wszystkie rozwiązania </w:t>
      </w:r>
      <w:proofErr w:type="spellStart"/>
      <w:r w:rsidRPr="00787B65">
        <w:t>Leasys</w:t>
      </w:r>
      <w:proofErr w:type="spellEnd"/>
      <w:r w:rsidRPr="00787B65">
        <w:t xml:space="preserve"> przeznaczone dla pojazdów elektrycznych i zelektryfikowanych uwzględniają zalety wynajmu z zerową emisją i mogą być dostosowane do potrzeb klienta poprzez wybór z szerokiej gamy produktów i usług ekologicznych. Jako lider </w:t>
      </w:r>
      <w:r w:rsidR="00C07CBD" w:rsidRPr="00787B65">
        <w:t>w grupie</w:t>
      </w:r>
      <w:r w:rsidRPr="00787B65">
        <w:t xml:space="preserve">, </w:t>
      </w:r>
      <w:proofErr w:type="spellStart"/>
      <w:r w:rsidRPr="00787B65">
        <w:t>Leasys</w:t>
      </w:r>
      <w:proofErr w:type="spellEnd"/>
      <w:r w:rsidRPr="00787B65">
        <w:t xml:space="preserve"> wniesie znaczący wkład w przejści</w:t>
      </w:r>
      <w:r w:rsidR="00C07CBD" w:rsidRPr="00787B65">
        <w:t xml:space="preserve">u </w:t>
      </w:r>
      <w:r w:rsidR="002A66F3" w:rsidRPr="00787B65">
        <w:t>użytkowników</w:t>
      </w:r>
      <w:r w:rsidRPr="00787B65">
        <w:t xml:space="preserve"> na mobilność zrównoważoną. </w:t>
      </w:r>
    </w:p>
    <w:p w14:paraId="13ACFCAD" w14:textId="77777777" w:rsidR="00BC0F74" w:rsidRPr="00787B65" w:rsidRDefault="00BC0F74" w:rsidP="00BC0F74">
      <w:pPr>
        <w:spacing w:line="360" w:lineRule="auto"/>
        <w:contextualSpacing/>
        <w:jc w:val="both"/>
      </w:pPr>
    </w:p>
    <w:p w14:paraId="6E66274D" w14:textId="77777777" w:rsidR="00BC0F74" w:rsidRPr="00787B65" w:rsidRDefault="00BC0F74" w:rsidP="00BC0F74">
      <w:pPr>
        <w:pStyle w:val="SDatePlace"/>
        <w:spacing w:after="0" w:line="360" w:lineRule="auto"/>
        <w:jc w:val="both"/>
        <w:rPr>
          <w:rFonts w:ascii="Arial" w:hAnsi="Arial" w:cs="Arial"/>
          <w:b/>
          <w:bCs/>
          <w:iCs/>
          <w:sz w:val="18"/>
        </w:rPr>
      </w:pPr>
      <w:r w:rsidRPr="00787B65">
        <w:rPr>
          <w:rFonts w:ascii="Arial" w:hAnsi="Arial"/>
          <w:b/>
          <w:iCs/>
          <w:sz w:val="18"/>
        </w:rPr>
        <w:t xml:space="preserve">Początki zwycięskiego projektu </w:t>
      </w:r>
    </w:p>
    <w:p w14:paraId="5FFEA67D" w14:textId="65649C7B" w:rsidR="00BC0F74" w:rsidRPr="00787B65" w:rsidRDefault="00BC0F74" w:rsidP="00BC0F74">
      <w:pPr>
        <w:pStyle w:val="SDatePlace"/>
        <w:spacing w:after="0" w:line="360" w:lineRule="auto"/>
        <w:jc w:val="both"/>
        <w:rPr>
          <w:rFonts w:ascii="Arial" w:hAnsi="Arial" w:cs="Arial"/>
          <w:sz w:val="18"/>
        </w:rPr>
      </w:pPr>
      <w:proofErr w:type="spellStart"/>
      <w:r w:rsidRPr="00787B65">
        <w:rPr>
          <w:rFonts w:ascii="Arial" w:hAnsi="Arial"/>
          <w:sz w:val="18"/>
        </w:rPr>
        <w:t>Leasys</w:t>
      </w:r>
      <w:proofErr w:type="spellEnd"/>
      <w:r w:rsidRPr="00787B65">
        <w:rPr>
          <w:rFonts w:ascii="Arial" w:hAnsi="Arial"/>
          <w:sz w:val="18"/>
        </w:rPr>
        <w:t xml:space="preserve"> jest zwieńczeniem projektu zainicjowanego pod koniec 2021 roku, kiedy to udziałowcy, CA Consumer Finance i </w:t>
      </w:r>
      <w:proofErr w:type="spellStart"/>
      <w:r w:rsidRPr="00787B65">
        <w:rPr>
          <w:rFonts w:ascii="Arial" w:hAnsi="Arial"/>
          <w:sz w:val="18"/>
        </w:rPr>
        <w:t>Stellantis</w:t>
      </w:r>
      <w:proofErr w:type="spellEnd"/>
      <w:r w:rsidRPr="00787B65">
        <w:rPr>
          <w:rFonts w:ascii="Arial" w:hAnsi="Arial"/>
          <w:sz w:val="18"/>
        </w:rPr>
        <w:t xml:space="preserve"> postanowili na nowo zdefiniować fundamenty swojej współpracy i zreorganizować strukturę usług finansowych. </w:t>
      </w:r>
      <w:proofErr w:type="spellStart"/>
      <w:r w:rsidRPr="00787B65">
        <w:rPr>
          <w:rFonts w:ascii="Arial" w:hAnsi="Arial"/>
          <w:sz w:val="18"/>
        </w:rPr>
        <w:t>Stellantis</w:t>
      </w:r>
      <w:proofErr w:type="spellEnd"/>
      <w:r w:rsidRPr="00787B65">
        <w:rPr>
          <w:rFonts w:ascii="Arial" w:hAnsi="Arial"/>
          <w:sz w:val="18"/>
        </w:rPr>
        <w:t xml:space="preserve"> sfinalizował negocjacje na wyłączność z BNP </w:t>
      </w:r>
      <w:proofErr w:type="spellStart"/>
      <w:r w:rsidRPr="00787B65">
        <w:rPr>
          <w:rFonts w:ascii="Arial" w:hAnsi="Arial"/>
          <w:sz w:val="18"/>
        </w:rPr>
        <w:t>Paribas</w:t>
      </w:r>
      <w:proofErr w:type="spellEnd"/>
      <w:r w:rsidRPr="00787B65">
        <w:rPr>
          <w:rFonts w:ascii="Arial" w:hAnsi="Arial"/>
          <w:sz w:val="18"/>
        </w:rPr>
        <w:t xml:space="preserve"> Personal Finance („BNPP PF”), </w:t>
      </w:r>
      <w:proofErr w:type="spellStart"/>
      <w:r w:rsidRPr="00787B65">
        <w:rPr>
          <w:rFonts w:ascii="Arial" w:hAnsi="Arial"/>
          <w:sz w:val="18"/>
        </w:rPr>
        <w:t>Crédit</w:t>
      </w:r>
      <w:proofErr w:type="spellEnd"/>
      <w:r w:rsidRPr="00787B65">
        <w:rPr>
          <w:rFonts w:ascii="Arial" w:hAnsi="Arial"/>
          <w:sz w:val="18"/>
        </w:rPr>
        <w:t xml:space="preserve"> </w:t>
      </w:r>
      <w:proofErr w:type="spellStart"/>
      <w:r w:rsidRPr="00787B65">
        <w:rPr>
          <w:rFonts w:ascii="Arial" w:hAnsi="Arial"/>
          <w:sz w:val="18"/>
        </w:rPr>
        <w:t>Agricole</w:t>
      </w:r>
      <w:proofErr w:type="spellEnd"/>
      <w:r w:rsidRPr="00787B65">
        <w:rPr>
          <w:rFonts w:ascii="Arial" w:hAnsi="Arial"/>
          <w:sz w:val="18"/>
        </w:rPr>
        <w:t xml:space="preserve"> Consumer Finance („CACF”) i Santander Consumer Finance („SCF”) w celu wzmocnienia strategii finansowania Grupy, aby zaoferować spójne i atrakcyjne rozwiązania dla wszystkich klientów, detalistów i dystrybutorów. </w:t>
      </w:r>
    </w:p>
    <w:p w14:paraId="2F83EAA6" w14:textId="76631E12" w:rsidR="006457EC" w:rsidRPr="00787B65" w:rsidRDefault="00BC0F74" w:rsidP="00BC0F74">
      <w:pPr>
        <w:spacing w:line="360" w:lineRule="auto"/>
        <w:contextualSpacing/>
        <w:jc w:val="both"/>
        <w:rPr>
          <w:rFonts w:eastAsia="Times New Roman"/>
        </w:rPr>
      </w:pPr>
      <w:r w:rsidRPr="00787B65">
        <w:t xml:space="preserve">W ramach nowej organizacji i joint venture z </w:t>
      </w:r>
      <w:proofErr w:type="spellStart"/>
      <w:r w:rsidRPr="00787B65">
        <w:t>Crédit</w:t>
      </w:r>
      <w:proofErr w:type="spellEnd"/>
      <w:r w:rsidRPr="00787B65">
        <w:t xml:space="preserve"> </w:t>
      </w:r>
      <w:proofErr w:type="spellStart"/>
      <w:r w:rsidRPr="00787B65">
        <w:t>Agricole</w:t>
      </w:r>
      <w:proofErr w:type="spellEnd"/>
      <w:r w:rsidRPr="00787B65">
        <w:t xml:space="preserve"> Consumer Finance, połączenie </w:t>
      </w:r>
      <w:proofErr w:type="spellStart"/>
      <w:r w:rsidRPr="00787B65">
        <w:t>Leasys</w:t>
      </w:r>
      <w:proofErr w:type="spellEnd"/>
      <w:r w:rsidRPr="00787B65">
        <w:t xml:space="preserve"> i Free2Move </w:t>
      </w:r>
      <w:proofErr w:type="spellStart"/>
      <w:r w:rsidRPr="00787B65">
        <w:t>Lease</w:t>
      </w:r>
      <w:proofErr w:type="spellEnd"/>
      <w:r w:rsidRPr="00787B65">
        <w:t xml:space="preserve"> pozwoliło utworzyć jedną spółkę w ramach Grupy </w:t>
      </w:r>
      <w:proofErr w:type="spellStart"/>
      <w:r w:rsidRPr="00787B65">
        <w:t>Stellantis</w:t>
      </w:r>
      <w:proofErr w:type="spellEnd"/>
      <w:r w:rsidRPr="00787B65">
        <w:t xml:space="preserve">, która jest obecna w 11 krajach europejskich: Włoszech, Hiszpanii, Francji, Wielkiej Brytanii, Niemczech, Belgii, Holandii, Portugalii, Polsce, Luksemburgu i Austrii. Z początkową flotą 828 000 pojazdów, nowy paneuropejski podmiot w dziedzinie mobilności może również pochwalić się podejściem wielomarkowym, skoncentrowanym na </w:t>
      </w:r>
      <w:proofErr w:type="spellStart"/>
      <w:r w:rsidRPr="00787B65">
        <w:t>targecie</w:t>
      </w:r>
      <w:proofErr w:type="spellEnd"/>
      <w:r w:rsidRPr="00787B65">
        <w:t xml:space="preserve"> B2B i zajmującym się w całości wynajmem średnio- i długoterminowym. </w:t>
      </w:r>
      <w:r w:rsidR="00EB5C08" w:rsidRPr="00787B65">
        <w:br/>
      </w:r>
      <w:r w:rsidRPr="00787B65">
        <w:t xml:space="preserve">U podstawy tych wszystkich działań leży dokładnie określona misja – zyskania pozycji europejskiego lidera w branży usług mobilności z milionem pojazdów w swojej flocie do 2026 roku. </w:t>
      </w:r>
    </w:p>
    <w:p w14:paraId="55455C53" w14:textId="70C4F811" w:rsidR="006457EC" w:rsidRPr="00787B65" w:rsidRDefault="006457EC" w:rsidP="00BC0F74">
      <w:pPr>
        <w:spacing w:line="360" w:lineRule="auto"/>
        <w:contextualSpacing/>
        <w:jc w:val="both"/>
        <w:rPr>
          <w:rFonts w:eastAsia="Times New Roman"/>
        </w:rPr>
      </w:pPr>
      <w:r w:rsidRPr="00787B65">
        <w:t xml:space="preserve">Pierwszym krokiem do przyspieszenia tego wzrostu jest ogłoszenie podpisania wiążącej umowy o przejęciu ALD i działalności </w:t>
      </w:r>
      <w:proofErr w:type="spellStart"/>
      <w:r w:rsidRPr="00787B65">
        <w:t>LeasePlan</w:t>
      </w:r>
      <w:proofErr w:type="spellEnd"/>
      <w:r w:rsidRPr="00787B65">
        <w:t xml:space="preserve"> w Portugalii i Luksemburgu.</w:t>
      </w:r>
    </w:p>
    <w:p w14:paraId="603FD381" w14:textId="77777777" w:rsidR="00BC0F74" w:rsidRPr="00787B65" w:rsidRDefault="00BC0F74" w:rsidP="00BC0F74">
      <w:pPr>
        <w:rPr>
          <w:b/>
          <w:bCs/>
          <w:i/>
          <w:iCs/>
        </w:rPr>
      </w:pPr>
    </w:p>
    <w:p w14:paraId="0BA1EFA2" w14:textId="77777777" w:rsidR="00BC0F74" w:rsidRPr="00787B65" w:rsidRDefault="00BC0F74" w:rsidP="00BC0F74">
      <w:pPr>
        <w:spacing w:line="360" w:lineRule="auto"/>
        <w:contextualSpacing/>
        <w:rPr>
          <w:rFonts w:eastAsia="Times New Roman"/>
          <w:b/>
          <w:bCs/>
          <w:i/>
          <w:iCs/>
        </w:rPr>
      </w:pPr>
      <w:r w:rsidRPr="00787B65">
        <w:rPr>
          <w:b/>
          <w:i/>
        </w:rPr>
        <w:t xml:space="preserve">Wielokanałowość i </w:t>
      </w:r>
      <w:proofErr w:type="spellStart"/>
      <w:r w:rsidRPr="00787B65">
        <w:rPr>
          <w:b/>
          <w:i/>
        </w:rPr>
        <w:t>wielomarkowość</w:t>
      </w:r>
      <w:proofErr w:type="spellEnd"/>
      <w:r w:rsidRPr="00787B65">
        <w:rPr>
          <w:b/>
          <w:i/>
        </w:rPr>
        <w:t xml:space="preserve"> to zwycięska kombinacja, zapewniająca konkurencyjność w Europie </w:t>
      </w:r>
    </w:p>
    <w:p w14:paraId="6E260D6C" w14:textId="61719338" w:rsidR="009E7710" w:rsidRPr="00787B65" w:rsidRDefault="009E7710" w:rsidP="009E7710">
      <w:pPr>
        <w:spacing w:line="360" w:lineRule="auto"/>
        <w:contextualSpacing/>
        <w:jc w:val="both"/>
      </w:pPr>
      <w:r w:rsidRPr="00787B65">
        <w:t xml:space="preserve">Podejście </w:t>
      </w:r>
      <w:r w:rsidR="00EB5C08" w:rsidRPr="00787B65">
        <w:t>wielokanałowe</w:t>
      </w:r>
      <w:r w:rsidRPr="00787B65">
        <w:t xml:space="preserve"> jest podstawą strategii </w:t>
      </w:r>
      <w:proofErr w:type="spellStart"/>
      <w:r w:rsidRPr="00787B65">
        <w:t>Leasys</w:t>
      </w:r>
      <w:proofErr w:type="spellEnd"/>
      <w:r w:rsidRPr="00787B65">
        <w:t xml:space="preserve">, pozwalającą zapewnić najlepszą obsługę wszystkich 14 marek </w:t>
      </w:r>
      <w:proofErr w:type="spellStart"/>
      <w:r w:rsidRPr="00787B65">
        <w:t>Stellantis</w:t>
      </w:r>
      <w:proofErr w:type="spellEnd"/>
      <w:r w:rsidRPr="00787B65">
        <w:t xml:space="preserve">. Kapilarność sieci sprzedaży i obsługi posprzedażnej </w:t>
      </w:r>
      <w:proofErr w:type="spellStart"/>
      <w:r w:rsidRPr="00787B65">
        <w:t>Stellantis</w:t>
      </w:r>
      <w:proofErr w:type="spellEnd"/>
      <w:r w:rsidRPr="00787B65">
        <w:t xml:space="preserve"> w całej Unii Europejskiej zostanie wykorzystana jako kluczowy filar strategiczny do oferowania najwyższej</w:t>
      </w:r>
      <w:r w:rsidRPr="00787B65">
        <w:rPr>
          <w:i/>
        </w:rPr>
        <w:t xml:space="preserve"> </w:t>
      </w:r>
      <w:r w:rsidRPr="00787B65">
        <w:t xml:space="preserve">klasy doświadczenia klienta. Poprzez połączenie różnych kanałów – bezpośredniego oraz sieci sprzedaży pośredniej i cyfrowej – nowa firma ma na celu zaspokojenie potrzeb rynku poprzez oferowanie pojazdów, usług i rozwiązań w zakresie mobilności jak najszerszej bazie klientów. </w:t>
      </w:r>
      <w:proofErr w:type="spellStart"/>
      <w:r w:rsidRPr="00787B65">
        <w:t>Leasys</w:t>
      </w:r>
      <w:proofErr w:type="spellEnd"/>
      <w:r w:rsidRPr="00787B65">
        <w:t xml:space="preserve"> będzie polegała na europejskiej sieci dealerów </w:t>
      </w:r>
      <w:proofErr w:type="spellStart"/>
      <w:r w:rsidRPr="00787B65">
        <w:t>Stellantis</w:t>
      </w:r>
      <w:proofErr w:type="spellEnd"/>
      <w:r w:rsidRPr="00787B65">
        <w:t xml:space="preserve">, niezależnych pośrednikach, jak również na sprzedaży bezpośredniej z większymi klientami. Wykorzystanie kanałów cyfrowych to kolejny filar strategii </w:t>
      </w:r>
      <w:proofErr w:type="spellStart"/>
      <w:r w:rsidRPr="00787B65">
        <w:t>Leasys</w:t>
      </w:r>
      <w:proofErr w:type="spellEnd"/>
      <w:r w:rsidR="00EB5C08" w:rsidRPr="00787B65">
        <w:t xml:space="preserve">, </w:t>
      </w:r>
      <w:proofErr w:type="gramStart"/>
      <w:r w:rsidR="00EB5C08" w:rsidRPr="00787B65">
        <w:t xml:space="preserve">który </w:t>
      </w:r>
      <w:r w:rsidRPr="00787B65">
        <w:t xml:space="preserve"> </w:t>
      </w:r>
      <w:r w:rsidR="00EB5C08" w:rsidRPr="00787B65">
        <w:t>n</w:t>
      </w:r>
      <w:r w:rsidRPr="00787B65">
        <w:t>ie</w:t>
      </w:r>
      <w:proofErr w:type="gramEnd"/>
      <w:r w:rsidRPr="00787B65">
        <w:t xml:space="preserve"> tylko pozw</w:t>
      </w:r>
      <w:r w:rsidR="00EB5C08" w:rsidRPr="00787B65">
        <w:t>oli</w:t>
      </w:r>
      <w:r w:rsidRPr="00787B65">
        <w:t xml:space="preserve"> promować ofertę własną, ale także umożliwi klientom i menedżerom flot w pełni autonomiczne zarządzanie pojazdami i flotami, wspierając klienta w obsłudze usług związanych z jego umową najmu.</w:t>
      </w:r>
    </w:p>
    <w:p w14:paraId="07CB6E47" w14:textId="4DFDE164" w:rsidR="00BC0F74" w:rsidRPr="00787B65" w:rsidRDefault="009E7710" w:rsidP="00BC0F74">
      <w:pPr>
        <w:spacing w:line="360" w:lineRule="auto"/>
        <w:contextualSpacing/>
        <w:jc w:val="both"/>
      </w:pPr>
      <w:r w:rsidRPr="00787B65">
        <w:t xml:space="preserve">Ponadto, dzięki wielomarkowemu podejściu </w:t>
      </w:r>
      <w:proofErr w:type="spellStart"/>
      <w:r w:rsidRPr="00787B65">
        <w:t>Leasys</w:t>
      </w:r>
      <w:proofErr w:type="spellEnd"/>
      <w:r w:rsidRPr="00787B65">
        <w:t xml:space="preserve">, firma </w:t>
      </w:r>
      <w:r w:rsidR="00EB5C08" w:rsidRPr="00787B65">
        <w:t xml:space="preserve">stanie się poważnym konkurentem dla innych podmiotów z ogólna ofertą, świadczących swoje </w:t>
      </w:r>
      <w:proofErr w:type="gramStart"/>
      <w:r w:rsidR="00EB5C08" w:rsidRPr="00787B65">
        <w:t xml:space="preserve">usługi </w:t>
      </w:r>
      <w:r w:rsidRPr="00787B65">
        <w:t xml:space="preserve"> na</w:t>
      </w:r>
      <w:proofErr w:type="gramEnd"/>
      <w:r w:rsidRPr="00787B65">
        <w:t xml:space="preserve"> rynku europejskim. </w:t>
      </w:r>
    </w:p>
    <w:p w14:paraId="1BD5E5F4" w14:textId="77777777" w:rsidR="002A66F3" w:rsidRPr="00787B65" w:rsidRDefault="002A66F3" w:rsidP="00BC0F74">
      <w:pPr>
        <w:spacing w:line="360" w:lineRule="auto"/>
        <w:contextualSpacing/>
        <w:jc w:val="both"/>
      </w:pPr>
    </w:p>
    <w:p w14:paraId="67C181AC" w14:textId="77777777" w:rsidR="002A66F3" w:rsidRPr="00787B65" w:rsidRDefault="002A66F3" w:rsidP="00BC0F74">
      <w:pPr>
        <w:spacing w:line="360" w:lineRule="auto"/>
        <w:contextualSpacing/>
        <w:jc w:val="both"/>
      </w:pPr>
    </w:p>
    <w:p w14:paraId="6B4EC961" w14:textId="77777777" w:rsidR="000E0320" w:rsidRPr="00787B65" w:rsidRDefault="000E0320" w:rsidP="00BC0F74">
      <w:pPr>
        <w:spacing w:line="360" w:lineRule="auto"/>
        <w:contextualSpacing/>
        <w:jc w:val="both"/>
      </w:pPr>
    </w:p>
    <w:p w14:paraId="2252487A" w14:textId="77777777" w:rsidR="00BC0F74" w:rsidRPr="00787B65" w:rsidRDefault="00BC0F74" w:rsidP="00BC0F74">
      <w:pPr>
        <w:spacing w:line="360" w:lineRule="auto"/>
        <w:jc w:val="both"/>
        <w:rPr>
          <w:b/>
          <w:bCs/>
          <w:i/>
          <w:iCs/>
        </w:rPr>
      </w:pPr>
      <w:r w:rsidRPr="00787B65">
        <w:rPr>
          <w:b/>
          <w:i/>
        </w:rPr>
        <w:lastRenderedPageBreak/>
        <w:t xml:space="preserve">Najlepsze doświadczenie klienta w sektorze wynajmu długoterminowego </w:t>
      </w:r>
    </w:p>
    <w:p w14:paraId="795FB00B" w14:textId="25A08E80" w:rsidR="00BC0F74" w:rsidRPr="00787B65" w:rsidRDefault="00BC0F74" w:rsidP="00BC0F74">
      <w:pPr>
        <w:spacing w:line="360" w:lineRule="auto"/>
        <w:jc w:val="both"/>
      </w:pPr>
      <w:r w:rsidRPr="00787B65">
        <w:t xml:space="preserve">Wizją </w:t>
      </w:r>
      <w:proofErr w:type="spellStart"/>
      <w:r w:rsidRPr="00787B65">
        <w:t>Leasys</w:t>
      </w:r>
      <w:proofErr w:type="spellEnd"/>
      <w:r w:rsidRPr="00787B65">
        <w:t xml:space="preserve"> jest zaprojektowanie już dziś przyszłości mobilności.</w:t>
      </w:r>
      <w:r w:rsidR="002A66F3" w:rsidRPr="00787B65">
        <w:t xml:space="preserve"> </w:t>
      </w:r>
      <w:r w:rsidRPr="00787B65">
        <w:t xml:space="preserve">Jednym z celów </w:t>
      </w:r>
      <w:proofErr w:type="spellStart"/>
      <w:r w:rsidRPr="00787B65">
        <w:t>Leasys</w:t>
      </w:r>
      <w:proofErr w:type="spellEnd"/>
      <w:r w:rsidRPr="00787B65">
        <w:t xml:space="preserve"> jest zapewnienie </w:t>
      </w:r>
      <w:r w:rsidR="00EB5C08" w:rsidRPr="00787B65">
        <w:t xml:space="preserve">klientom jak najlepszych doświadczeń </w:t>
      </w:r>
      <w:r w:rsidRPr="00787B65">
        <w:t>związan</w:t>
      </w:r>
      <w:r w:rsidR="00EB5C08" w:rsidRPr="00787B65">
        <w:t>ych</w:t>
      </w:r>
      <w:r w:rsidRPr="00787B65">
        <w:t xml:space="preserve"> z wynajmem, dzięki nieustannemu rozwojowi innowacyjnych rozwiązań </w:t>
      </w:r>
      <w:r w:rsidR="00EB5C08" w:rsidRPr="00787B65">
        <w:t>oraz</w:t>
      </w:r>
      <w:r w:rsidRPr="00787B65">
        <w:t xml:space="preserve"> najwyższej jakości usług. </w:t>
      </w:r>
    </w:p>
    <w:p w14:paraId="1DED82F3" w14:textId="77777777" w:rsidR="00EB5C08" w:rsidRPr="00787B65" w:rsidRDefault="00EB5C08" w:rsidP="00BC0F74">
      <w:pPr>
        <w:spacing w:line="360" w:lineRule="auto"/>
        <w:jc w:val="both"/>
      </w:pPr>
    </w:p>
    <w:p w14:paraId="5D864F6A" w14:textId="41C4026A" w:rsidR="00BC0F74" w:rsidRPr="00787B65" w:rsidRDefault="00BC0F74" w:rsidP="00BC0F74">
      <w:pPr>
        <w:spacing w:line="360" w:lineRule="auto"/>
        <w:jc w:val="both"/>
      </w:pPr>
      <w:r w:rsidRPr="00787B65">
        <w:t xml:space="preserve">Misją </w:t>
      </w:r>
      <w:proofErr w:type="spellStart"/>
      <w:r w:rsidRPr="00787B65">
        <w:t>Leasys</w:t>
      </w:r>
      <w:proofErr w:type="spellEnd"/>
      <w:r w:rsidRPr="00787B65">
        <w:t xml:space="preserve"> jest utorowanie drogi dla innowacyjnych rozwiązań, zaprojektowanych wokół klienta z myślą o zapewnieniu doświadczenia najlepszego w swojej klasie. U podstaw całego procesu leży chęć </w:t>
      </w:r>
      <w:proofErr w:type="spellStart"/>
      <w:r w:rsidRPr="00787B65">
        <w:t>Leasys</w:t>
      </w:r>
      <w:proofErr w:type="spellEnd"/>
      <w:r w:rsidRPr="00787B65">
        <w:t xml:space="preserve"> do pomocy i wsparcia klienta, zarówno w fazie sprzedaży, dzięki dopasowanym produktom i usługom oraz rozbudowanej sieci obsługi, jak i w fazie posprzedażnej, dzięki szerokiemu i wyjątkowemu zakresowi usług serwisowych, zarządzanych przez sieć dealerów </w:t>
      </w:r>
      <w:proofErr w:type="spellStart"/>
      <w:r w:rsidRPr="00787B65">
        <w:t>Stellantis</w:t>
      </w:r>
      <w:proofErr w:type="spellEnd"/>
      <w:r w:rsidRPr="00787B65">
        <w:t xml:space="preserve">, a także sieć wyselekcjonowanych partnerów, co pozwala zagwarantować maksymalny zasięg. Na koniec należy podkreślić, że jednym z filarów wspierających strategię </w:t>
      </w:r>
      <w:proofErr w:type="spellStart"/>
      <w:r w:rsidRPr="00787B65">
        <w:t>customer</w:t>
      </w:r>
      <w:proofErr w:type="spellEnd"/>
      <w:r w:rsidRPr="00787B65">
        <w:t xml:space="preserve"> </w:t>
      </w:r>
      <w:proofErr w:type="spellStart"/>
      <w:r w:rsidRPr="00787B65">
        <w:t>experience</w:t>
      </w:r>
      <w:proofErr w:type="spellEnd"/>
      <w:r w:rsidRPr="00787B65">
        <w:t xml:space="preserve"> firmy </w:t>
      </w:r>
      <w:proofErr w:type="spellStart"/>
      <w:r w:rsidRPr="00787B65">
        <w:t>Leasys</w:t>
      </w:r>
      <w:proofErr w:type="spellEnd"/>
      <w:r w:rsidRPr="00787B65">
        <w:t xml:space="preserve"> jest pomiar satysfakcji klienta, zarówno indywidualnego, jak i dużych przedsiębiorstw. W tym celu wykorzystywany jest system do regularnego monitorowania informacji zwrotnych otrzymywanych od klientów, poprzez kwestionariusze mające na celu ocenę ich doświadczenia w różnych momentach ścieżki klienta.</w:t>
      </w:r>
    </w:p>
    <w:p w14:paraId="04A16FE0" w14:textId="77777777" w:rsidR="00BC0F74" w:rsidRPr="00787B65" w:rsidRDefault="00BC0F74" w:rsidP="00BC0F74">
      <w:pPr>
        <w:spacing w:line="360" w:lineRule="auto"/>
        <w:contextualSpacing/>
        <w:jc w:val="both"/>
      </w:pPr>
    </w:p>
    <w:p w14:paraId="404D9A19" w14:textId="77777777" w:rsidR="00BC0F74" w:rsidRPr="00787B65" w:rsidRDefault="00BC0F74" w:rsidP="00BC0F74">
      <w:pPr>
        <w:spacing w:line="360" w:lineRule="auto"/>
        <w:contextualSpacing/>
        <w:rPr>
          <w:rFonts w:eastAsia="Times New Roman"/>
          <w:b/>
          <w:bCs/>
          <w:i/>
          <w:iCs/>
        </w:rPr>
      </w:pPr>
      <w:r w:rsidRPr="00787B65">
        <w:rPr>
          <w:b/>
          <w:i/>
        </w:rPr>
        <w:t xml:space="preserve">Innowacyjne i elastyczne produkty oraz usługi </w:t>
      </w:r>
    </w:p>
    <w:p w14:paraId="6CCAE111" w14:textId="6DC6AE0E" w:rsidR="006457EC" w:rsidRPr="00787B65" w:rsidRDefault="009E7710" w:rsidP="00BC0F74">
      <w:pPr>
        <w:spacing w:line="360" w:lineRule="auto"/>
        <w:jc w:val="both"/>
      </w:pPr>
      <w:r w:rsidRPr="00787B65">
        <w:t xml:space="preserve">Celem </w:t>
      </w:r>
      <w:proofErr w:type="spellStart"/>
      <w:r w:rsidRPr="00787B65">
        <w:t>Leasys</w:t>
      </w:r>
      <w:proofErr w:type="spellEnd"/>
      <w:r w:rsidRPr="00787B65">
        <w:t xml:space="preserve"> jest oferowanie w głównych krajach europejskich najszerszej gamy zaawansowanych rozwiązań w zakresie wynajmu długoterminowego i zarządzania flotą. Wszystkie </w:t>
      </w:r>
      <w:r w:rsidR="00EB5C08" w:rsidRPr="00787B65">
        <w:t>wprowadzane</w:t>
      </w:r>
      <w:r w:rsidRPr="00787B65">
        <w:t xml:space="preserve"> produkty dostępne są na rynkach europejskich i „gotowe do użycia” dla wszystkich marek </w:t>
      </w:r>
      <w:proofErr w:type="spellStart"/>
      <w:r w:rsidRPr="00787B65">
        <w:t>Stellantis</w:t>
      </w:r>
      <w:proofErr w:type="spellEnd"/>
      <w:r w:rsidRPr="00787B65">
        <w:t>.</w:t>
      </w:r>
    </w:p>
    <w:p w14:paraId="7C1D93FC" w14:textId="29B198E4" w:rsidR="00BC0F74" w:rsidRPr="00787B65" w:rsidRDefault="00BC0F74" w:rsidP="00BC0F74">
      <w:pPr>
        <w:spacing w:line="360" w:lineRule="auto"/>
        <w:jc w:val="both"/>
        <w:rPr>
          <w:rFonts w:eastAsia="Times New Roman"/>
        </w:rPr>
      </w:pPr>
      <w:proofErr w:type="spellStart"/>
      <w:r w:rsidRPr="00787B65">
        <w:t>Leasys</w:t>
      </w:r>
      <w:proofErr w:type="spellEnd"/>
      <w:r w:rsidRPr="00787B65">
        <w:t xml:space="preserve"> opracowała katalog innowacyjnych, elastycznych i mogących zadowolić klienta produktów i usług, poprzez rozwiązania wynajmu dostosowane do jego potrzeb. </w:t>
      </w:r>
      <w:proofErr w:type="spellStart"/>
      <w:r w:rsidRPr="00787B65">
        <w:t>Leasys</w:t>
      </w:r>
      <w:proofErr w:type="spellEnd"/>
      <w:r w:rsidRPr="00787B65">
        <w:t xml:space="preserve"> jest dynamiczną firmą, która umie interpretować, a często także uprzedzać zmiany na rynku. To gwarantuje rozwiązania </w:t>
      </w:r>
      <w:r w:rsidRPr="00787B65">
        <w:rPr>
          <w:i/>
        </w:rPr>
        <w:t>szyte na miarę</w:t>
      </w:r>
      <w:r w:rsidRPr="00787B65">
        <w:t>, które stawiają klienta i jego potrzeby w centrum. Takie podejście, wyraźnie</w:t>
      </w:r>
      <w:r w:rsidRPr="00787B65">
        <w:rPr>
          <w:i/>
        </w:rPr>
        <w:t xml:space="preserve"> </w:t>
      </w:r>
      <w:r w:rsidRPr="00787B65">
        <w:t xml:space="preserve">zorientowane na klienta dało początek unikalnym w sektorze produktom, takim jak Be </w:t>
      </w:r>
      <w:proofErr w:type="spellStart"/>
      <w:r w:rsidRPr="00787B65">
        <w:t>Free</w:t>
      </w:r>
      <w:proofErr w:type="spellEnd"/>
      <w:r w:rsidRPr="00787B65">
        <w:t xml:space="preserve">, rozwiązanie wynajmu długoterminowego, które pozwala na zwrot samochodu po roku bez kar; </w:t>
      </w:r>
      <w:proofErr w:type="spellStart"/>
      <w:r w:rsidRPr="00787B65">
        <w:t>Leasys</w:t>
      </w:r>
      <w:proofErr w:type="spellEnd"/>
      <w:r w:rsidRPr="00787B65">
        <w:t xml:space="preserve"> Miles, pierwsza formuła wynajmu długoterminowego </w:t>
      </w:r>
      <w:proofErr w:type="spellStart"/>
      <w:r w:rsidRPr="00787B65">
        <w:t>pay</w:t>
      </w:r>
      <w:proofErr w:type="spellEnd"/>
      <w:r w:rsidRPr="00787B65">
        <w:t>-per-</w:t>
      </w:r>
      <w:proofErr w:type="spellStart"/>
      <w:r w:rsidRPr="00787B65">
        <w:t>use</w:t>
      </w:r>
      <w:proofErr w:type="spellEnd"/>
      <w:r w:rsidRPr="00787B65">
        <w:t xml:space="preserve">, która pozwala płacić tylko za przejechane kilometry; oraz </w:t>
      </w:r>
      <w:proofErr w:type="spellStart"/>
      <w:r w:rsidRPr="00787B65">
        <w:t>Leasys</w:t>
      </w:r>
      <w:proofErr w:type="spellEnd"/>
      <w:r w:rsidRPr="00787B65">
        <w:t xml:space="preserve"> PRO, który oferuje pojazdy użytkowe dostosowane do potrzeb klienta. Ponadto rozwiązania zaprojektowane przez </w:t>
      </w:r>
      <w:proofErr w:type="spellStart"/>
      <w:r w:rsidRPr="00787B65">
        <w:t>Leasys</w:t>
      </w:r>
      <w:proofErr w:type="spellEnd"/>
      <w:r w:rsidRPr="00787B65">
        <w:t xml:space="preserve"> ułatwiają przejście do transformacji ekologicznej poprzez coraz bardziej zintegrowane i ekologiczne formuły mobilności, czego dowodem jest</w:t>
      </w:r>
      <w:r w:rsidRPr="00787B65">
        <w:rPr>
          <w:b/>
        </w:rPr>
        <w:t xml:space="preserve"> </w:t>
      </w:r>
      <w:r w:rsidRPr="00787B65">
        <w:t xml:space="preserve">formuła wynajmu UNILIMITED z nieograniczoną liczbą kilometrów, przeznaczona dla produktów ekologicznych. Wszystkie rozwiązania </w:t>
      </w:r>
      <w:proofErr w:type="spellStart"/>
      <w:r w:rsidRPr="00787B65">
        <w:t>Leasys</w:t>
      </w:r>
      <w:proofErr w:type="spellEnd"/>
      <w:r w:rsidRPr="00787B65">
        <w:t xml:space="preserve"> można wzbogacić o zestaw usług takich jak</w:t>
      </w:r>
      <w:r w:rsidR="002A66F3" w:rsidRPr="00787B65">
        <w:t>:</w:t>
      </w:r>
      <w:r w:rsidRPr="00787B65">
        <w:t xml:space="preserve"> ubezpieczenie </w:t>
      </w:r>
      <w:r w:rsidRPr="00787B65">
        <w:rPr>
          <w:bdr w:val="none" w:sz="0" w:space="0" w:color="auto" w:frame="1"/>
        </w:rPr>
        <w:t>OC</w:t>
      </w:r>
      <w:r w:rsidRPr="00787B65">
        <w:t xml:space="preserve">, od kradzieży i pożaru, pomoc drogowa, przeglądy zwykłe i nadzwyczajne, serwis opon, samochód zastępczy oraz usługa </w:t>
      </w:r>
      <w:proofErr w:type="spellStart"/>
      <w:r w:rsidRPr="00787B65">
        <w:t>infomobilności</w:t>
      </w:r>
      <w:proofErr w:type="spellEnd"/>
      <w:r w:rsidRPr="00787B65">
        <w:t xml:space="preserve"> I-</w:t>
      </w:r>
      <w:proofErr w:type="spellStart"/>
      <w:r w:rsidRPr="00787B65">
        <w:t>Care</w:t>
      </w:r>
      <w:proofErr w:type="spellEnd"/>
      <w:r w:rsidRPr="00787B65">
        <w:t>, umożliwiająca zdalne monitorowanie pojazdu, a tym samym naprawdę beztroską jazdę.</w:t>
      </w:r>
    </w:p>
    <w:p w14:paraId="15C321C3" w14:textId="2327151F" w:rsidR="00BC0F74" w:rsidRPr="00787B65" w:rsidRDefault="00BC0F74" w:rsidP="00BC0F74">
      <w:pPr>
        <w:spacing w:line="360" w:lineRule="auto"/>
        <w:jc w:val="both"/>
      </w:pPr>
      <w:r w:rsidRPr="00787B65">
        <w:t xml:space="preserve">Dzięki odpowiedniemu zespołowi profesjonalistów, </w:t>
      </w:r>
      <w:proofErr w:type="spellStart"/>
      <w:r w:rsidRPr="00787B65">
        <w:t>Leasys</w:t>
      </w:r>
      <w:proofErr w:type="spellEnd"/>
      <w:r w:rsidRPr="00787B65">
        <w:t xml:space="preserve"> zapewnia menedżerom flot celowane usługi doradcze, które wspierają ich w zwiększaniu efektywności zarządzania flotą. </w:t>
      </w:r>
      <w:r w:rsidR="00B275A5" w:rsidRPr="00787B65">
        <w:t xml:space="preserve">W tym celu udostępniona </w:t>
      </w:r>
      <w:r w:rsidR="00B275A5" w:rsidRPr="00787B65">
        <w:lastRenderedPageBreak/>
        <w:t>została</w:t>
      </w:r>
      <w:r w:rsidRPr="00787B65">
        <w:t xml:space="preserve"> platforma cyfrowa </w:t>
      </w:r>
      <w:proofErr w:type="spellStart"/>
      <w:r w:rsidRPr="00787B65">
        <w:t>MyLeasys</w:t>
      </w:r>
      <w:proofErr w:type="spellEnd"/>
      <w:r w:rsidRPr="00787B65">
        <w:t xml:space="preserve">, która pozwala na zdalny, globalny i dynamiczny wgląd w całą flotę pojazdów i zawarte w niej usługi.  </w:t>
      </w:r>
    </w:p>
    <w:p w14:paraId="79F2E903" w14:textId="3D518FB4" w:rsidR="00BC0F74" w:rsidRPr="00787B65" w:rsidRDefault="00BC0F74" w:rsidP="00BC0F74">
      <w:pPr>
        <w:spacing w:line="360" w:lineRule="auto"/>
        <w:jc w:val="both"/>
        <w:rPr>
          <w:shd w:val="clear" w:color="auto" w:fill="FFFFFF"/>
        </w:rPr>
      </w:pPr>
      <w:r w:rsidRPr="00787B65">
        <w:t xml:space="preserve">Klienci mogą również korzystać na smartfonach i tabletach z aplikacji </w:t>
      </w:r>
      <w:proofErr w:type="spellStart"/>
      <w:r w:rsidRPr="00787B65">
        <w:t>Umove</w:t>
      </w:r>
      <w:proofErr w:type="spellEnd"/>
      <w:r w:rsidRPr="00787B65">
        <w:t xml:space="preserve">, która zapewnia szybki i intuicyjny dostęp do całego ekosystemu produktów i usług mobilnych </w:t>
      </w:r>
      <w:proofErr w:type="spellStart"/>
      <w:r w:rsidRPr="00787B65">
        <w:t>Leasys</w:t>
      </w:r>
      <w:proofErr w:type="spellEnd"/>
      <w:r w:rsidRPr="00787B65">
        <w:t xml:space="preserve">. </w:t>
      </w:r>
      <w:r w:rsidR="00B275A5" w:rsidRPr="00787B65">
        <w:t>Zarządzanie</w:t>
      </w:r>
      <w:r w:rsidRPr="00787B65">
        <w:rPr>
          <w:shd w:val="clear" w:color="auto" w:fill="FFFFFF"/>
        </w:rPr>
        <w:t xml:space="preserve"> mobilnością zrównoważoną i elektryczną staje się </w:t>
      </w:r>
      <w:r w:rsidR="00B275A5" w:rsidRPr="00787B65">
        <w:rPr>
          <w:shd w:val="clear" w:color="auto" w:fill="FFFFFF"/>
        </w:rPr>
        <w:t>proste</w:t>
      </w:r>
      <w:r w:rsidRPr="00787B65">
        <w:rPr>
          <w:shd w:val="clear" w:color="auto" w:fill="FFFFFF"/>
        </w:rPr>
        <w:t xml:space="preserve"> dzięki </w:t>
      </w:r>
      <w:proofErr w:type="spellStart"/>
      <w:r w:rsidRPr="00787B65">
        <w:rPr>
          <w:rStyle w:val="Pogrubienie"/>
          <w:b w:val="0"/>
          <w:shd w:val="clear" w:color="auto" w:fill="FFFFFF"/>
        </w:rPr>
        <w:t>geolokalizacji</w:t>
      </w:r>
      <w:proofErr w:type="spellEnd"/>
      <w:r w:rsidRPr="00787B65">
        <w:rPr>
          <w:rStyle w:val="Pogrubienie"/>
          <w:b w:val="0"/>
          <w:shd w:val="clear" w:color="auto" w:fill="FFFFFF"/>
        </w:rPr>
        <w:t xml:space="preserve"> stacji ładowania</w:t>
      </w:r>
      <w:r w:rsidRPr="00787B65">
        <w:rPr>
          <w:rStyle w:val="Pogrubienie"/>
          <w:shd w:val="clear" w:color="auto" w:fill="FFFFFF"/>
        </w:rPr>
        <w:t xml:space="preserve">. </w:t>
      </w:r>
    </w:p>
    <w:p w14:paraId="76E21A9D" w14:textId="2355F758" w:rsidR="00BC0F74" w:rsidRPr="00787B65" w:rsidRDefault="00E01344" w:rsidP="00BC0F74">
      <w:pPr>
        <w:spacing w:line="360" w:lineRule="auto"/>
        <w:jc w:val="both"/>
        <w:rPr>
          <w:shd w:val="clear" w:color="auto" w:fill="FFFFFF"/>
        </w:rPr>
      </w:pPr>
      <w:r w:rsidRPr="00787B65">
        <w:rPr>
          <w:shd w:val="clear" w:color="auto" w:fill="FFFFFF"/>
        </w:rPr>
        <w:t xml:space="preserve">To tylko kilka małych, ale znaczących przykładów inwestycji </w:t>
      </w:r>
      <w:proofErr w:type="spellStart"/>
      <w:r w:rsidRPr="00787B65">
        <w:rPr>
          <w:shd w:val="clear" w:color="auto" w:fill="FFFFFF"/>
        </w:rPr>
        <w:t>Leasys</w:t>
      </w:r>
      <w:proofErr w:type="spellEnd"/>
      <w:r w:rsidRPr="00787B65">
        <w:rPr>
          <w:shd w:val="clear" w:color="auto" w:fill="FFFFFF"/>
        </w:rPr>
        <w:t xml:space="preserve"> w </w:t>
      </w:r>
      <w:r w:rsidRPr="00787B65">
        <w:t>proces transformacji</w:t>
      </w:r>
      <w:r w:rsidRPr="00787B65">
        <w:rPr>
          <w:i/>
        </w:rPr>
        <w:t xml:space="preserve"> </w:t>
      </w:r>
      <w:r w:rsidRPr="00787B65">
        <w:t xml:space="preserve">cyfrowej. Udostępnione zostały cyfrowe punkty styku, aby zapewnić natychmiastowe, kompleksowe i angażujące doświadczenie, zarówno dla klientów prywatnych, jak i menedżerów floty. </w:t>
      </w:r>
    </w:p>
    <w:p w14:paraId="5B23E30F" w14:textId="72D4E469" w:rsidR="00BC0F74" w:rsidRPr="00787B65" w:rsidRDefault="006457EC" w:rsidP="00BC0F74">
      <w:pPr>
        <w:spacing w:line="360" w:lineRule="auto"/>
        <w:jc w:val="both"/>
        <w:rPr>
          <w:rFonts w:eastAsiaTheme="minorEastAsia"/>
        </w:rPr>
      </w:pPr>
      <w:r w:rsidRPr="00787B65">
        <w:t xml:space="preserve">Należy także pamiętać, że oferta </w:t>
      </w:r>
      <w:proofErr w:type="spellStart"/>
      <w:r w:rsidRPr="00787B65">
        <w:t>Leasys</w:t>
      </w:r>
      <w:proofErr w:type="spellEnd"/>
      <w:r w:rsidRPr="00787B65">
        <w:t xml:space="preserve"> będzie coraz bardziej dostępna dzięki coraz bardziej cyfrowemu</w:t>
      </w:r>
      <w:r w:rsidRPr="00787B65">
        <w:rPr>
          <w:i/>
        </w:rPr>
        <w:t xml:space="preserve"> </w:t>
      </w:r>
      <w:r w:rsidRPr="00787B65">
        <w:t>doświadczeniu klienta z kompleksowym procesem zakupu online. Poprzez platformę cyfrową użytkownik będzie mógł uzyskać dostęp do spersonalizowanej oferty, a następnie szybko i łatwo zdecydować się na przystąpienie do niej z zacisza domowego.</w:t>
      </w:r>
    </w:p>
    <w:p w14:paraId="0ACA9131" w14:textId="77777777" w:rsidR="00BC0F74" w:rsidRPr="00787B65" w:rsidRDefault="00BC0F74" w:rsidP="00BC0F74">
      <w:pPr>
        <w:spacing w:line="360" w:lineRule="auto"/>
        <w:contextualSpacing/>
      </w:pPr>
    </w:p>
    <w:p w14:paraId="1830B701" w14:textId="77777777" w:rsidR="00BC0F74" w:rsidRPr="00787B65" w:rsidRDefault="00BC0F74" w:rsidP="00BC0F74">
      <w:pPr>
        <w:spacing w:line="360" w:lineRule="auto"/>
        <w:jc w:val="both"/>
        <w:rPr>
          <w:b/>
          <w:bCs/>
          <w:i/>
          <w:iCs/>
        </w:rPr>
      </w:pPr>
      <w:r w:rsidRPr="00787B65">
        <w:rPr>
          <w:b/>
          <w:i/>
        </w:rPr>
        <w:t xml:space="preserve">Nowa zintegrowana platforma ICT </w:t>
      </w:r>
    </w:p>
    <w:p w14:paraId="596D9F7A" w14:textId="4861CF11" w:rsidR="00BC0F74" w:rsidRPr="00787B65" w:rsidRDefault="00E01344" w:rsidP="00BC0F74">
      <w:pPr>
        <w:spacing w:line="360" w:lineRule="auto"/>
        <w:jc w:val="both"/>
      </w:pPr>
      <w:r w:rsidRPr="00787B65">
        <w:t xml:space="preserve">W ostatnich latach </w:t>
      </w:r>
      <w:proofErr w:type="spellStart"/>
      <w:r w:rsidRPr="00787B65">
        <w:t>Leasys</w:t>
      </w:r>
      <w:proofErr w:type="spellEnd"/>
      <w:r w:rsidRPr="00787B65">
        <w:t xml:space="preserve"> zainwestowała w rozwój autorskiego paneuropejskiego systemu zarządzania, opartego na nowoczesnej platformie technologicznej. W związku z fuzją z Free2move </w:t>
      </w:r>
      <w:proofErr w:type="spellStart"/>
      <w:r w:rsidRPr="00787B65">
        <w:t>Lease</w:t>
      </w:r>
      <w:proofErr w:type="spellEnd"/>
      <w:r w:rsidRPr="00787B65">
        <w:t xml:space="preserve"> rozpoczęta została ważna faza projektowania i rozwoju na poziomie systemów i procesów, aby osiągnąć konwergencję techniczną i operacyjną pomiędzy tymi dwiema firmami. Dzięki temu powstał jeden system zarządzania, który jest dostępny nawet dla sieci sprzedaży, pozwalający nowej firmie działać niezwykle sprawnie i szybko. W szczególności system pozwala sieci sprzedaży lepiej współpracować z </w:t>
      </w:r>
      <w:proofErr w:type="spellStart"/>
      <w:r w:rsidRPr="00787B65">
        <w:t>Leasys</w:t>
      </w:r>
      <w:proofErr w:type="spellEnd"/>
      <w:r w:rsidRPr="00787B65">
        <w:t>, co jest zgodne z polityką firmy pod hasłem „Robienie z nami interesów jest niezwykle łatwe!”. Ponadto, dzięki ujednoliconej platformie, menedżerowie flot mają do dyspozycji jednolite narzędzia w całej Europie, aby lepiej zarządzać swoimi flotami.</w:t>
      </w:r>
    </w:p>
    <w:p w14:paraId="56FAF70B" w14:textId="77777777" w:rsidR="00E01344" w:rsidRPr="00787B65" w:rsidRDefault="00E01344" w:rsidP="00BC0F74">
      <w:pPr>
        <w:spacing w:line="360" w:lineRule="auto"/>
        <w:jc w:val="both"/>
      </w:pPr>
    </w:p>
    <w:p w14:paraId="5D8BF98A" w14:textId="77777777" w:rsidR="00BC0F74" w:rsidRPr="00787B65" w:rsidRDefault="00BC0F74" w:rsidP="00BC0F74">
      <w:pPr>
        <w:shd w:val="clear" w:color="auto" w:fill="FFFFFF"/>
        <w:spacing w:line="360" w:lineRule="auto"/>
        <w:jc w:val="both"/>
        <w:rPr>
          <w:b/>
          <w:bCs/>
          <w:i/>
          <w:iCs/>
        </w:rPr>
      </w:pPr>
      <w:proofErr w:type="spellStart"/>
      <w:r w:rsidRPr="00787B65">
        <w:rPr>
          <w:b/>
          <w:i/>
        </w:rPr>
        <w:t>Leasys</w:t>
      </w:r>
      <w:proofErr w:type="spellEnd"/>
      <w:r w:rsidRPr="00787B65">
        <w:rPr>
          <w:b/>
          <w:i/>
        </w:rPr>
        <w:t>, „Wybór nowej mobilności”</w:t>
      </w:r>
    </w:p>
    <w:p w14:paraId="0C5D36DE" w14:textId="6CF78890" w:rsidR="00411291" w:rsidRPr="00787B65" w:rsidRDefault="00411291" w:rsidP="00411291">
      <w:pPr>
        <w:spacing w:line="360" w:lineRule="auto"/>
        <w:jc w:val="both"/>
        <w:rPr>
          <w:rFonts w:eastAsiaTheme="minorEastAsia"/>
        </w:rPr>
      </w:pPr>
      <w:r w:rsidRPr="00787B65">
        <w:t xml:space="preserve">Wybór nazwy </w:t>
      </w:r>
      <w:proofErr w:type="spellStart"/>
      <w:r w:rsidRPr="00787B65">
        <w:t>Leasys</w:t>
      </w:r>
      <w:proofErr w:type="spellEnd"/>
      <w:r w:rsidRPr="00787B65">
        <w:t xml:space="preserve"> pozwala nowej firmie na maksymalizację równości i aktualnej świadomości marki oraz wykorzystanie istniejących europejskich aktywów komunikacyjnych i </w:t>
      </w:r>
      <w:proofErr w:type="spellStart"/>
      <w:r w:rsidRPr="00787B65">
        <w:t>brandingowych</w:t>
      </w:r>
      <w:proofErr w:type="spellEnd"/>
      <w:r w:rsidRPr="00787B65">
        <w:t xml:space="preserve"> produktu. Obietnica nowości i zdolności do innowacji, wyrażone również przez slogan „Wybór Nowej Mobilności”, został</w:t>
      </w:r>
      <w:r w:rsidR="00B275A5" w:rsidRPr="00787B65">
        <w:t>a</w:t>
      </w:r>
      <w:r w:rsidRPr="00787B65">
        <w:t xml:space="preserve"> opracowan</w:t>
      </w:r>
      <w:r w:rsidR="00B275A5" w:rsidRPr="00787B65">
        <w:t>a</w:t>
      </w:r>
      <w:r w:rsidRPr="00787B65">
        <w:t xml:space="preserve"> wokół trzech głównych pojęć – nowości, mobilności i wyboru – w odpowiedzi na potrzeby komunikacji ponadnarodowej, łatwo przekładalnej na inne języki i nie tracącej swojej zwięzłości i siły oddziaływania. Firma przedstawia się jako „nowa” w tym sensie, że została „odrodzona” dzięki połączeniu z Free2move </w:t>
      </w:r>
      <w:proofErr w:type="spellStart"/>
      <w:r w:rsidRPr="00787B65">
        <w:t>Lease</w:t>
      </w:r>
      <w:proofErr w:type="spellEnd"/>
      <w:r w:rsidRPr="00787B65">
        <w:t xml:space="preserve"> jako nowy lider na swoim rynku; jednocześnie na nowo definiuje wynajem długoterminowy jako nowy i innowacyjny wybór, ponieważ oferta </w:t>
      </w:r>
      <w:proofErr w:type="spellStart"/>
      <w:r w:rsidRPr="00787B65">
        <w:t>Leasys</w:t>
      </w:r>
      <w:proofErr w:type="spellEnd"/>
      <w:r w:rsidRPr="00787B65">
        <w:t xml:space="preserve"> nigdy nie pozostanie taka sama, ale będzie stale odnawiana każdego dnia zgodnie z potrzebami rynku i klientów. Natomiast słowo „wybór” rezonuje z jej główną grupą docelową – decydentami, takimi jak menedżerowie, przedsiębiorcy i profesjonaliści – których podstawowym zadaniem jest dokonywanie wyborów. </w:t>
      </w:r>
      <w:proofErr w:type="spellStart"/>
      <w:r w:rsidRPr="00787B65">
        <w:t>Leasys</w:t>
      </w:r>
      <w:proofErr w:type="spellEnd"/>
      <w:r w:rsidRPr="00787B65">
        <w:t xml:space="preserve"> jest odpowiedzią dla </w:t>
      </w:r>
      <w:r w:rsidRPr="00787B65">
        <w:lastRenderedPageBreak/>
        <w:t xml:space="preserve">grupy docelowej klientów poszukujących właściwego wyboru, szukających mobilności zorientowanej na przyszłość i uznających </w:t>
      </w:r>
      <w:proofErr w:type="spellStart"/>
      <w:r w:rsidRPr="00787B65">
        <w:t>Leasys</w:t>
      </w:r>
      <w:proofErr w:type="spellEnd"/>
      <w:r w:rsidRPr="00787B65">
        <w:t xml:space="preserve"> za idealnego partnera strategicznego.</w:t>
      </w:r>
    </w:p>
    <w:p w14:paraId="6542B88A" w14:textId="5B7EC753" w:rsidR="00BC0F74" w:rsidRPr="00787B65" w:rsidRDefault="00411291" w:rsidP="00BC0F74">
      <w:pPr>
        <w:spacing w:line="360" w:lineRule="auto"/>
        <w:jc w:val="both"/>
        <w:rPr>
          <w:rFonts w:eastAsiaTheme="minorEastAsia"/>
        </w:rPr>
      </w:pPr>
      <w:r w:rsidRPr="00787B65">
        <w:t xml:space="preserve">Ewolucja mobilności i zarządzania nią, elastyczność, dynamika i zrównoważony rozwój znajdują swoją maksymalną artykulację w nowym języku graficznym </w:t>
      </w:r>
      <w:proofErr w:type="spellStart"/>
      <w:r w:rsidRPr="00787B65">
        <w:t>Leasys</w:t>
      </w:r>
      <w:proofErr w:type="spellEnd"/>
      <w:r w:rsidRPr="00787B65">
        <w:t>, charakteryzującym się mocnym wyrazem cyfrowym. Samochody dematerializują się, pozwalając wyłonić się idei mobilności, funkcjonalności i otaczających je usług. Nowa forma inteligencji, kierowana przez uspokajającą obecność człowieka. Krążące okręgi, połączone geometrycznymi rozmytymi liniami, tworzą cyfrowe i niematerialne kształty. Wszystko się porusza, jest rozświetlone i lekkie. To początek nowej ery mobilności, oddanej w haśle „Myśl długofalowo. Mobilność jutra zaczyna się dzisiaj”.</w:t>
      </w:r>
      <w:r w:rsidR="005E26D3" w:rsidRPr="00787B65">
        <w:t xml:space="preserve"> </w:t>
      </w:r>
      <w:r w:rsidR="00BC0F74" w:rsidRPr="00787B65">
        <w:t xml:space="preserve">Wybrać </w:t>
      </w:r>
      <w:proofErr w:type="spellStart"/>
      <w:r w:rsidR="00BC0F74" w:rsidRPr="00787B65">
        <w:t>Leasys</w:t>
      </w:r>
      <w:proofErr w:type="spellEnd"/>
      <w:r w:rsidR="00BC0F74" w:rsidRPr="00787B65">
        <w:t xml:space="preserve"> to wybrać zmianę mobilności przyszłości już dziś. Właśnie z tego powodu </w:t>
      </w:r>
      <w:proofErr w:type="spellStart"/>
      <w:r w:rsidR="00BC0F74" w:rsidRPr="00787B65">
        <w:t>Leasys</w:t>
      </w:r>
      <w:proofErr w:type="spellEnd"/>
      <w:r w:rsidR="00BC0F74" w:rsidRPr="00787B65">
        <w:t xml:space="preserve"> już teraz wchodzi na rynek z atrakcyjną ofertą na wybrane modele, która pozwala tym, którzy zdecydują się na wynajem z </w:t>
      </w:r>
      <w:proofErr w:type="spellStart"/>
      <w:r w:rsidR="00BC0F74" w:rsidRPr="00787B65">
        <w:t>Leasys</w:t>
      </w:r>
      <w:proofErr w:type="spellEnd"/>
      <w:r w:rsidR="00BC0F74" w:rsidRPr="00787B65">
        <w:t>, uniknąć płacenia dwóch pierwszych opłat za wynajem.</w:t>
      </w:r>
    </w:p>
    <w:p w14:paraId="4BAE6584" w14:textId="77777777" w:rsidR="00BC0F74" w:rsidRPr="00787B65" w:rsidRDefault="00BC0F74" w:rsidP="00BC0F74">
      <w:pPr>
        <w:spacing w:line="360" w:lineRule="auto"/>
        <w:jc w:val="both"/>
      </w:pPr>
    </w:p>
    <w:p w14:paraId="7C795B8E" w14:textId="77777777" w:rsidR="00BC0F74" w:rsidRPr="00787B65" w:rsidRDefault="00BC0F74" w:rsidP="00BC0F74">
      <w:pPr>
        <w:spacing w:line="360" w:lineRule="auto"/>
        <w:contextualSpacing/>
        <w:rPr>
          <w:b/>
          <w:bCs/>
          <w:i/>
          <w:iCs/>
        </w:rPr>
      </w:pPr>
      <w:proofErr w:type="spellStart"/>
      <w:r w:rsidRPr="00787B65">
        <w:rPr>
          <w:b/>
          <w:i/>
        </w:rPr>
        <w:t>Leasys</w:t>
      </w:r>
      <w:proofErr w:type="spellEnd"/>
      <w:r w:rsidRPr="00787B65">
        <w:rPr>
          <w:b/>
          <w:i/>
        </w:rPr>
        <w:t xml:space="preserve"> i Free2move </w:t>
      </w:r>
      <w:proofErr w:type="spellStart"/>
      <w:r w:rsidRPr="00787B65">
        <w:rPr>
          <w:b/>
          <w:i/>
        </w:rPr>
        <w:t>Lease</w:t>
      </w:r>
      <w:proofErr w:type="spellEnd"/>
      <w:r w:rsidRPr="00787B65">
        <w:rPr>
          <w:b/>
          <w:i/>
        </w:rPr>
        <w:t xml:space="preserve">, dwie historie sukcesu </w:t>
      </w:r>
    </w:p>
    <w:p w14:paraId="56BA5849" w14:textId="60C68CD0" w:rsidR="00BC0F74" w:rsidRPr="00787B65" w:rsidRDefault="00BC0F74" w:rsidP="00BC0F74">
      <w:pPr>
        <w:spacing w:line="360" w:lineRule="auto"/>
        <w:contextualSpacing/>
        <w:jc w:val="both"/>
      </w:pPr>
      <w:r w:rsidRPr="00787B65">
        <w:t xml:space="preserve">Nowa spółka łączy to, co najlepsze z </w:t>
      </w:r>
      <w:proofErr w:type="spellStart"/>
      <w:r w:rsidRPr="00787B65">
        <w:t>Leasys</w:t>
      </w:r>
      <w:proofErr w:type="spellEnd"/>
      <w:r w:rsidRPr="00787B65">
        <w:t xml:space="preserve"> i Free2move </w:t>
      </w:r>
      <w:proofErr w:type="spellStart"/>
      <w:r w:rsidRPr="00787B65">
        <w:t>Lease</w:t>
      </w:r>
      <w:proofErr w:type="spellEnd"/>
      <w:r w:rsidRPr="00787B65">
        <w:t>, dwóch wiodących firm, które zapisały się znacząco w sektorze wynajmu długoterminowego i leasingu operacyjnego. Przeanalizujmy wspólnie ich historię sukcesu i dziedzictwo, które nowa spółka będzie umiała w pełni wykorzystać, aby patrzeć w przyszłość z nowym optymizmem i perspektywami dalszego wzrostu</w:t>
      </w:r>
      <w:r w:rsidRPr="00787B65">
        <w:rPr>
          <w:i/>
        </w:rPr>
        <w:t xml:space="preserve">. </w:t>
      </w:r>
    </w:p>
    <w:p w14:paraId="3762C854" w14:textId="2F26A165" w:rsidR="00564DC8" w:rsidRPr="00787B65" w:rsidRDefault="00BC0F74" w:rsidP="00564DC8">
      <w:pPr>
        <w:spacing w:line="360" w:lineRule="auto"/>
        <w:contextualSpacing/>
        <w:jc w:val="both"/>
      </w:pPr>
      <w:r w:rsidRPr="00787B65">
        <w:t xml:space="preserve">Założona w 2001 roku jako joint venture firm Fiat i </w:t>
      </w:r>
      <w:proofErr w:type="spellStart"/>
      <w:r w:rsidRPr="00787B65">
        <w:t>Enel</w:t>
      </w:r>
      <w:proofErr w:type="spellEnd"/>
      <w:r w:rsidRPr="00787B65">
        <w:t xml:space="preserve">, firma </w:t>
      </w:r>
      <w:proofErr w:type="spellStart"/>
      <w:r w:rsidRPr="00787B65">
        <w:t>Leasys</w:t>
      </w:r>
      <w:proofErr w:type="spellEnd"/>
      <w:r w:rsidRPr="00787B65">
        <w:t xml:space="preserve"> weszła na rynek wynajmu długoterminowego pojazdów firmowych, a cztery lata później, w 2005 roku, włoska grupa motoryzacyjna stała się jej jedynym właścicielem. To doprowadziło do jej wzrostu i ugruntowania pozycji na poziomie międzynarodowym. W roku 2006, wraz z </w:t>
      </w:r>
      <w:proofErr w:type="spellStart"/>
      <w:r w:rsidRPr="00787B65">
        <w:t>Savarent</w:t>
      </w:r>
      <w:proofErr w:type="spellEnd"/>
      <w:r w:rsidRPr="00787B65">
        <w:t xml:space="preserve">, spółką Grupy Fiat, która już od 1995 roku działała w sektorze wynajmu długoterminowego, weszła do spółki joint venture pomiędzy Fiatem a </w:t>
      </w:r>
      <w:proofErr w:type="spellStart"/>
      <w:r w:rsidRPr="00787B65">
        <w:t>Crédit</w:t>
      </w:r>
      <w:proofErr w:type="spellEnd"/>
      <w:r w:rsidRPr="00787B65">
        <w:t xml:space="preserve"> </w:t>
      </w:r>
      <w:proofErr w:type="spellStart"/>
      <w:r w:rsidRPr="00787B65">
        <w:t>Agricole</w:t>
      </w:r>
      <w:proofErr w:type="spellEnd"/>
      <w:r w:rsidRPr="00787B65">
        <w:t xml:space="preserve"> (FGA Capital, obecnie FCA Bank). W 2010 roku </w:t>
      </w:r>
      <w:proofErr w:type="spellStart"/>
      <w:r w:rsidRPr="00787B65">
        <w:t>Savarent</w:t>
      </w:r>
      <w:proofErr w:type="spellEnd"/>
      <w:r w:rsidRPr="00787B65">
        <w:t xml:space="preserve"> i </w:t>
      </w:r>
      <w:proofErr w:type="spellStart"/>
      <w:r w:rsidRPr="00787B65">
        <w:t>Leasys</w:t>
      </w:r>
      <w:proofErr w:type="spellEnd"/>
      <w:r w:rsidRPr="00787B65">
        <w:t xml:space="preserve"> połączyły się w jedną spółkę, a od 2011 roku występowały na rynku pod jedną marką handlową. Od roku 2016 </w:t>
      </w:r>
      <w:proofErr w:type="spellStart"/>
      <w:r w:rsidRPr="00787B65">
        <w:t>Leasys</w:t>
      </w:r>
      <w:proofErr w:type="spellEnd"/>
      <w:r w:rsidRPr="00787B65">
        <w:t xml:space="preserve"> jest spółką w pełni zależną od FCA Bank </w:t>
      </w:r>
      <w:proofErr w:type="spellStart"/>
      <w:r w:rsidRPr="00787B65">
        <w:t>S.p.A</w:t>
      </w:r>
      <w:proofErr w:type="spellEnd"/>
      <w:r w:rsidRPr="00787B65">
        <w:t xml:space="preserve">., joint venture 50/50 pomiędzy FCA </w:t>
      </w:r>
      <w:proofErr w:type="spellStart"/>
      <w:r w:rsidRPr="00787B65">
        <w:t>Italy</w:t>
      </w:r>
      <w:proofErr w:type="spellEnd"/>
      <w:r w:rsidRPr="00787B65">
        <w:t xml:space="preserve"> </w:t>
      </w:r>
      <w:proofErr w:type="spellStart"/>
      <w:r w:rsidRPr="00787B65">
        <w:t>S.p.A</w:t>
      </w:r>
      <w:proofErr w:type="spellEnd"/>
      <w:r w:rsidRPr="00787B65">
        <w:t xml:space="preserve">. i </w:t>
      </w:r>
      <w:proofErr w:type="spellStart"/>
      <w:r w:rsidRPr="00787B65">
        <w:t>Crédit</w:t>
      </w:r>
      <w:proofErr w:type="spellEnd"/>
      <w:r w:rsidRPr="00787B65">
        <w:t xml:space="preserve"> </w:t>
      </w:r>
      <w:proofErr w:type="spellStart"/>
      <w:r w:rsidRPr="00787B65">
        <w:t>Agricole</w:t>
      </w:r>
      <w:proofErr w:type="spellEnd"/>
      <w:r w:rsidRPr="00787B65">
        <w:t xml:space="preserve"> Consumer Finance. W roku 2017 firma </w:t>
      </w:r>
      <w:proofErr w:type="spellStart"/>
      <w:r w:rsidRPr="00787B65">
        <w:t>Leasys</w:t>
      </w:r>
      <w:proofErr w:type="spellEnd"/>
      <w:r w:rsidRPr="00787B65">
        <w:t xml:space="preserve"> rozpoczęła ekspansję na rynek europejski, otwierając filie w głównych krajach europejskich, a rok 2021 stał się marką </w:t>
      </w:r>
      <w:proofErr w:type="spellStart"/>
      <w:r w:rsidRPr="00787B65">
        <w:t>Stellantis</w:t>
      </w:r>
      <w:proofErr w:type="spellEnd"/>
      <w:r w:rsidRPr="00787B65">
        <w:t xml:space="preserve">. W ubiegłym roku osiągnęła znaczące wyniki, ponieważ czwarty rok z rzędu </w:t>
      </w:r>
      <w:proofErr w:type="spellStart"/>
      <w:r w:rsidRPr="00787B65">
        <w:t>Leasys</w:t>
      </w:r>
      <w:proofErr w:type="spellEnd"/>
      <w:r w:rsidRPr="00787B65">
        <w:t xml:space="preserve"> zajmowała pozycję lidera na włoskim rynku wynajmu długoterminowego, zarówno pojazdów osobowych, jak i lekkich pojazdów użytkowych (LCV), z udziałem w rynku na poziomie 20%. Sukces </w:t>
      </w:r>
      <w:proofErr w:type="spellStart"/>
      <w:r w:rsidRPr="00787B65">
        <w:t>Leasys</w:t>
      </w:r>
      <w:proofErr w:type="spellEnd"/>
      <w:r w:rsidRPr="00787B65">
        <w:t xml:space="preserve"> jest wynikiem zdolności do szybkiego reagowania na zmiany, poprzez oferowanie przez lata coraz bardziej zrównoważonych, elastycznych i dostępnych formuł, które były w stanie uwzględnić zmiany rynkowe i potrzeby klientów.</w:t>
      </w:r>
    </w:p>
    <w:p w14:paraId="506EF929" w14:textId="2960F015" w:rsidR="00BC0F74" w:rsidRPr="00787B65" w:rsidRDefault="00BC0F74" w:rsidP="00BC0F74">
      <w:pPr>
        <w:spacing w:line="360" w:lineRule="auto"/>
        <w:contextualSpacing/>
        <w:jc w:val="both"/>
      </w:pPr>
      <w:r w:rsidRPr="00787B65">
        <w:t xml:space="preserve">Nie mniej interesująca jest historia „Free2Move </w:t>
      </w:r>
      <w:proofErr w:type="spellStart"/>
      <w:r w:rsidRPr="00787B65">
        <w:t>Lease</w:t>
      </w:r>
      <w:proofErr w:type="spellEnd"/>
      <w:r w:rsidRPr="00787B65">
        <w:t xml:space="preserve">”, podmiotu biznesowego utworzonego w 2017 roku przez Grupę PSA, zajmującego się wyłącznie wynajmem długoterminowym dla klientów prywatnych i korporacyjnych. Początkowo jego oferta wielomarkowa obejmowała marki Peugeot, Citroen i Ds, do której </w:t>
      </w:r>
      <w:r w:rsidRPr="00787B65">
        <w:lastRenderedPageBreak/>
        <w:t>później dołączyły</w:t>
      </w:r>
      <w:r w:rsidRPr="00787B65">
        <w:rPr>
          <w:b/>
        </w:rPr>
        <w:t xml:space="preserve"> </w:t>
      </w:r>
      <w:r w:rsidRPr="00787B65">
        <w:t xml:space="preserve">Opel i Vauxhall. W ciągu zaledwie dwóch lat od rozpoczęcia działalności, Free2Move </w:t>
      </w:r>
      <w:proofErr w:type="spellStart"/>
      <w:r w:rsidRPr="00787B65">
        <w:t>Lease</w:t>
      </w:r>
      <w:proofErr w:type="spellEnd"/>
      <w:r w:rsidRPr="00787B65">
        <w:t xml:space="preserve"> zapewnił swoją obecność w 10 krajach europejskich, stając się liderem rynku francuskiego.</w:t>
      </w:r>
    </w:p>
    <w:p w14:paraId="4C596B7E" w14:textId="77777777" w:rsidR="00BC0F74" w:rsidRPr="00787B65" w:rsidRDefault="00BC0F74" w:rsidP="00BC0F74">
      <w:pPr>
        <w:spacing w:line="360" w:lineRule="auto"/>
        <w:jc w:val="both"/>
        <w:rPr>
          <w:rFonts w:eastAsia="Times New Roman"/>
        </w:rPr>
      </w:pPr>
    </w:p>
    <w:p w14:paraId="739AF965" w14:textId="29523F3A" w:rsidR="00A93ABA" w:rsidRPr="00787B65" w:rsidRDefault="00BC0F74" w:rsidP="00A93ABA">
      <w:pPr>
        <w:spacing w:line="360" w:lineRule="auto"/>
        <w:jc w:val="both"/>
        <w:rPr>
          <w:rFonts w:eastAsia="Times New Roman"/>
        </w:rPr>
      </w:pPr>
      <w:r w:rsidRPr="00787B65">
        <w:t>Rzym i Paryż, 5 kwietnia 2023 r.</w:t>
      </w:r>
    </w:p>
    <w:p w14:paraId="5350655E" w14:textId="77777777" w:rsidR="005F6FF8" w:rsidRPr="00787B65" w:rsidRDefault="005F6FF8" w:rsidP="00A93ABA">
      <w:pPr>
        <w:spacing w:line="360" w:lineRule="auto"/>
        <w:jc w:val="both"/>
        <w:rPr>
          <w:rStyle w:val="Uwydatnienie"/>
          <w:rFonts w:eastAsia="Times New Roman"/>
          <w:i w:val="0"/>
          <w:iCs w:val="0"/>
        </w:rPr>
      </w:pPr>
    </w:p>
    <w:p w14:paraId="7F80E7F7" w14:textId="0DEDB73B" w:rsidR="00BC0F74" w:rsidRPr="00787B65" w:rsidRDefault="00BC0F74" w:rsidP="00A93ABA">
      <w:pPr>
        <w:spacing w:line="360" w:lineRule="auto"/>
        <w:jc w:val="both"/>
        <w:rPr>
          <w:rStyle w:val="Uwydatnienie"/>
          <w:rFonts w:eastAsia="Times New Roman"/>
          <w:i w:val="0"/>
          <w:iCs w:val="0"/>
        </w:rPr>
      </w:pPr>
      <w:proofErr w:type="spellStart"/>
      <w:r w:rsidRPr="00787B65">
        <w:rPr>
          <w:rStyle w:val="Uwydatnienie"/>
          <w:b/>
          <w:shd w:val="clear" w:color="auto" w:fill="FFFFFF"/>
        </w:rPr>
        <w:t>Leasys</w:t>
      </w:r>
      <w:proofErr w:type="spellEnd"/>
    </w:p>
    <w:p w14:paraId="0F4FE4BF" w14:textId="77777777" w:rsidR="00BC0F74" w:rsidRPr="00787B65" w:rsidRDefault="00BC0F74" w:rsidP="00BC0F74">
      <w:pPr>
        <w:spacing w:line="360" w:lineRule="auto"/>
        <w:jc w:val="both"/>
        <w:rPr>
          <w:rStyle w:val="Uwydatnienie"/>
          <w:rFonts w:cstheme="minorHAnsi"/>
          <w:sz w:val="16"/>
          <w:szCs w:val="16"/>
          <w:shd w:val="clear" w:color="auto" w:fill="FFFFFF"/>
        </w:rPr>
      </w:pPr>
      <w:proofErr w:type="spellStart"/>
      <w:r w:rsidRPr="00787B65">
        <w:rPr>
          <w:rStyle w:val="Uwydatnienie"/>
          <w:sz w:val="16"/>
          <w:shd w:val="clear" w:color="auto" w:fill="FFFFFF"/>
        </w:rPr>
        <w:t>Leasys</w:t>
      </w:r>
      <w:proofErr w:type="spellEnd"/>
      <w:r w:rsidRPr="00787B65">
        <w:rPr>
          <w:rStyle w:val="Uwydatnienie"/>
          <w:sz w:val="16"/>
          <w:shd w:val="clear" w:color="auto" w:fill="FFFFFF"/>
        </w:rPr>
        <w:t xml:space="preserve">, spółka joint venture 50/50 pomiędzy </w:t>
      </w:r>
      <w:proofErr w:type="spellStart"/>
      <w:r w:rsidRPr="00787B65">
        <w:rPr>
          <w:rStyle w:val="Uwydatnienie"/>
          <w:sz w:val="16"/>
          <w:shd w:val="clear" w:color="auto" w:fill="FFFFFF"/>
        </w:rPr>
        <w:t>Stellantis</w:t>
      </w:r>
      <w:proofErr w:type="spellEnd"/>
      <w:r w:rsidRPr="00787B65">
        <w:rPr>
          <w:rStyle w:val="Uwydatnienie"/>
          <w:sz w:val="16"/>
          <w:shd w:val="clear" w:color="auto" w:fill="FFFFFF"/>
        </w:rPr>
        <w:t xml:space="preserve"> i </w:t>
      </w:r>
      <w:proofErr w:type="spellStart"/>
      <w:r w:rsidRPr="00787B65">
        <w:rPr>
          <w:rStyle w:val="Uwydatnienie"/>
          <w:sz w:val="16"/>
          <w:shd w:val="clear" w:color="auto" w:fill="FFFFFF"/>
        </w:rPr>
        <w:t>Crédit</w:t>
      </w:r>
      <w:proofErr w:type="spellEnd"/>
      <w:r w:rsidRPr="00787B65">
        <w:rPr>
          <w:rStyle w:val="Uwydatnienie"/>
          <w:sz w:val="16"/>
          <w:shd w:val="clear" w:color="auto" w:fill="FFFFFF"/>
        </w:rPr>
        <w:t xml:space="preserve"> </w:t>
      </w:r>
      <w:proofErr w:type="spellStart"/>
      <w:r w:rsidRPr="00787B65">
        <w:rPr>
          <w:rStyle w:val="Uwydatnienie"/>
          <w:sz w:val="16"/>
          <w:shd w:val="clear" w:color="auto" w:fill="FFFFFF"/>
        </w:rPr>
        <w:t>Agricole</w:t>
      </w:r>
      <w:proofErr w:type="spellEnd"/>
      <w:r w:rsidRPr="00787B65">
        <w:rPr>
          <w:rStyle w:val="Uwydatnienie"/>
          <w:sz w:val="16"/>
          <w:shd w:val="clear" w:color="auto" w:fill="FFFFFF"/>
        </w:rPr>
        <w:t xml:space="preserve"> Consumer Finance, oferuje rozwiązania w zakresie mobilności, począwszy od wynajmu średnio- i długoterminowego po systemy zarządzania flotą zakładową, które zapewniają wydajną, racjonalną, bezpieczną i zrównoważoną mobilność. Powstała z połączenia dwóch wiodących firm w sektorze, </w:t>
      </w:r>
      <w:proofErr w:type="spellStart"/>
      <w:r w:rsidRPr="00787B65">
        <w:rPr>
          <w:rStyle w:val="Uwydatnienie"/>
          <w:sz w:val="16"/>
          <w:shd w:val="clear" w:color="auto" w:fill="FFFFFF"/>
        </w:rPr>
        <w:t>Leasys</w:t>
      </w:r>
      <w:proofErr w:type="spellEnd"/>
      <w:r w:rsidRPr="00787B65">
        <w:rPr>
          <w:rStyle w:val="Uwydatnienie"/>
          <w:sz w:val="16"/>
          <w:shd w:val="clear" w:color="auto" w:fill="FFFFFF"/>
        </w:rPr>
        <w:t xml:space="preserve"> i</w:t>
      </w:r>
      <w:r w:rsidRPr="00787B65">
        <w:rPr>
          <w:rStyle w:val="Uwydatnienie"/>
          <w:sz w:val="16"/>
        </w:rPr>
        <w:t xml:space="preserve"> Free2Move </w:t>
      </w:r>
      <w:proofErr w:type="spellStart"/>
      <w:r w:rsidRPr="00787B65">
        <w:rPr>
          <w:rStyle w:val="Uwydatnienie"/>
          <w:sz w:val="16"/>
        </w:rPr>
        <w:t>Lease</w:t>
      </w:r>
      <w:proofErr w:type="spellEnd"/>
      <w:r w:rsidRPr="00787B65">
        <w:rPr>
          <w:rStyle w:val="Uwydatnienie"/>
          <w:sz w:val="16"/>
        </w:rPr>
        <w:t xml:space="preserve">, nowa spółka zajmuje piątą pozycję w rankingu wiodących podmiotów na rynku europejskim i jest </w:t>
      </w:r>
      <w:r w:rsidRPr="00787B65">
        <w:rPr>
          <w:rStyle w:val="Uwydatnienie"/>
          <w:sz w:val="16"/>
          <w:shd w:val="clear" w:color="auto" w:fill="FFFFFF"/>
        </w:rPr>
        <w:t xml:space="preserve">pionierem nowej idei płynnej, zintegrowanej i globalnej mobilności, przeznaczonej dla osób prywatnych, profesjonalistów i firm każdej wielkości. </w:t>
      </w:r>
      <w:proofErr w:type="spellStart"/>
      <w:r w:rsidRPr="00787B65">
        <w:rPr>
          <w:rStyle w:val="Uwydatnienie"/>
          <w:sz w:val="16"/>
          <w:shd w:val="clear" w:color="auto" w:fill="FFFFFF"/>
        </w:rPr>
        <w:t>Leasys</w:t>
      </w:r>
      <w:proofErr w:type="spellEnd"/>
      <w:r w:rsidRPr="00787B65">
        <w:rPr>
          <w:rStyle w:val="Uwydatnienie"/>
          <w:sz w:val="16"/>
          <w:shd w:val="clear" w:color="auto" w:fill="FFFFFF"/>
        </w:rPr>
        <w:t xml:space="preserve"> może pochwalić się początkową flotą ponad </w:t>
      </w:r>
      <w:r w:rsidRPr="00787B65">
        <w:rPr>
          <w:i/>
          <w:sz w:val="16"/>
        </w:rPr>
        <w:t>828 000 pojazdów.</w:t>
      </w:r>
      <w:r w:rsidRPr="00787B65">
        <w:rPr>
          <w:sz w:val="16"/>
        </w:rPr>
        <w:t xml:space="preserve"> </w:t>
      </w:r>
      <w:r w:rsidRPr="00787B65">
        <w:rPr>
          <w:rStyle w:val="Uwydatnienie"/>
          <w:sz w:val="16"/>
          <w:shd w:val="clear" w:color="auto" w:fill="FFFFFF"/>
        </w:rPr>
        <w:t xml:space="preserve">Działa już w 11 krajach europejskich: </w:t>
      </w:r>
      <w:r w:rsidRPr="00787B65">
        <w:rPr>
          <w:i/>
          <w:sz w:val="16"/>
        </w:rPr>
        <w:t>we Włoszech, Hiszpanii, Francji, Wielkiej Brytanii, Niemczech, Belgii, Holandii, Portugalii, Polsce, Luksemburgu i Austrii.</w:t>
      </w:r>
    </w:p>
    <w:p w14:paraId="46C68A4A" w14:textId="77777777" w:rsidR="001F4694" w:rsidRPr="00787B65" w:rsidRDefault="001F4694" w:rsidP="00571878"/>
    <w:sectPr w:rsidR="001F4694" w:rsidRPr="00787B65">
      <w:headerReference w:type="default" r:id="rId8"/>
      <w:footerReference w:type="default" r:id="rId9"/>
      <w:headerReference w:type="first" r:id="rId10"/>
      <w:pgSz w:w="11906" w:h="16838"/>
      <w:pgMar w:top="3402" w:right="1247" w:bottom="2268" w:left="2268" w:header="567" w:footer="123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5EF31" w14:textId="77777777" w:rsidR="009934DA" w:rsidRDefault="009934DA">
      <w:pPr>
        <w:spacing w:line="240" w:lineRule="auto"/>
      </w:pPr>
      <w:r>
        <w:separator/>
      </w:r>
    </w:p>
  </w:endnote>
  <w:endnote w:type="continuationSeparator" w:id="0">
    <w:p w14:paraId="7E643E09" w14:textId="77777777" w:rsidR="009934DA" w:rsidRDefault="009934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roman"/>
    <w:pitch w:val="default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07F8" w14:textId="77777777" w:rsidR="00971227" w:rsidRDefault="009712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614087BD" w14:textId="77777777" w:rsidR="00971227" w:rsidRDefault="009712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03A444EA" w14:textId="77777777" w:rsidR="00971227" w:rsidRDefault="009712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4FF48406" w14:textId="77777777" w:rsidR="00971227" w:rsidRDefault="009712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C23D" w14:textId="77777777" w:rsidR="009934DA" w:rsidRDefault="009934DA">
      <w:pPr>
        <w:spacing w:line="240" w:lineRule="auto"/>
      </w:pPr>
      <w:r>
        <w:separator/>
      </w:r>
    </w:p>
  </w:footnote>
  <w:footnote w:type="continuationSeparator" w:id="0">
    <w:p w14:paraId="5D596DDE" w14:textId="77777777" w:rsidR="009934DA" w:rsidRDefault="009934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E898" w14:textId="0E0D38E7" w:rsidR="00971227" w:rsidRDefault="00D97EEC">
    <w:r>
      <w:rPr>
        <w:noProof/>
      </w:rPr>
      <w:drawing>
        <wp:anchor distT="0" distB="0" distL="0" distR="0" simplePos="0" relativeHeight="251673600" behindDoc="1" locked="0" layoutInCell="0" allowOverlap="1" wp14:anchorId="2BE0913D" wp14:editId="393A451B">
          <wp:simplePos x="0" y="0"/>
          <wp:positionH relativeFrom="margin">
            <wp:align>left</wp:align>
          </wp:positionH>
          <wp:positionV relativeFrom="paragraph">
            <wp:posOffset>213649</wp:posOffset>
          </wp:positionV>
          <wp:extent cx="1729740" cy="336550"/>
          <wp:effectExtent l="0" t="0" r="3810" b="6350"/>
          <wp:wrapNone/>
          <wp:docPr id="8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r="12" b="25012"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7EC804E2" wp14:editId="2C4CAC64">
          <wp:simplePos x="0" y="0"/>
          <wp:positionH relativeFrom="column">
            <wp:posOffset>-899793</wp:posOffset>
          </wp:positionH>
          <wp:positionV relativeFrom="paragraph">
            <wp:posOffset>1548130</wp:posOffset>
          </wp:positionV>
          <wp:extent cx="253365" cy="1828800"/>
          <wp:effectExtent l="0" t="0" r="0" b="0"/>
          <wp:wrapSquare wrapText="bothSides" distT="0" distB="0" distL="0" distR="0"/>
          <wp:docPr id="4" name="image4.png" descr="press releas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press release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365" cy="182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6565" w14:textId="0F9E7D5D" w:rsidR="00971227" w:rsidRDefault="000A22EB">
    <w:r>
      <w:rPr>
        <w:noProof/>
      </w:rPr>
      <w:drawing>
        <wp:anchor distT="0" distB="0" distL="0" distR="0" simplePos="0" relativeHeight="251671552" behindDoc="1" locked="0" layoutInCell="0" allowOverlap="1" wp14:anchorId="35CA8257" wp14:editId="514351AB">
          <wp:simplePos x="0" y="0"/>
          <wp:positionH relativeFrom="margin">
            <wp:posOffset>0</wp:posOffset>
          </wp:positionH>
          <wp:positionV relativeFrom="paragraph">
            <wp:posOffset>381000</wp:posOffset>
          </wp:positionV>
          <wp:extent cx="1729740" cy="336550"/>
          <wp:effectExtent l="0" t="0" r="3810" b="6350"/>
          <wp:wrapNone/>
          <wp:docPr id="7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r="12" b="25012"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0EA3955" wp14:editId="4E3C19BF">
          <wp:simplePos x="0" y="0"/>
          <wp:positionH relativeFrom="column">
            <wp:posOffset>-899158</wp:posOffset>
          </wp:positionH>
          <wp:positionV relativeFrom="paragraph">
            <wp:posOffset>1727835</wp:posOffset>
          </wp:positionV>
          <wp:extent cx="253365" cy="1828800"/>
          <wp:effectExtent l="0" t="0" r="0" b="0"/>
          <wp:wrapNone/>
          <wp:docPr id="2" name="image4.png" descr="press releas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press release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365" cy="182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6406"/>
    <w:multiLevelType w:val="hybridMultilevel"/>
    <w:tmpl w:val="FAA080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46634"/>
    <w:multiLevelType w:val="multilevel"/>
    <w:tmpl w:val="639E1A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666465"/>
    <w:multiLevelType w:val="multilevel"/>
    <w:tmpl w:val="979A7E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BF3A50"/>
    <w:multiLevelType w:val="multilevel"/>
    <w:tmpl w:val="BAB687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6927F1D"/>
    <w:multiLevelType w:val="hybridMultilevel"/>
    <w:tmpl w:val="A740E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8317A"/>
    <w:multiLevelType w:val="hybridMultilevel"/>
    <w:tmpl w:val="891213C4"/>
    <w:lvl w:ilvl="0" w:tplc="866C61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3066D"/>
    <w:multiLevelType w:val="hybridMultilevel"/>
    <w:tmpl w:val="5D1EC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980419">
    <w:abstractNumId w:val="3"/>
  </w:num>
  <w:num w:numId="2" w16cid:durableId="101271470">
    <w:abstractNumId w:val="6"/>
  </w:num>
  <w:num w:numId="3" w16cid:durableId="1927961675">
    <w:abstractNumId w:val="1"/>
  </w:num>
  <w:num w:numId="4" w16cid:durableId="1981300679">
    <w:abstractNumId w:val="2"/>
  </w:num>
  <w:num w:numId="5" w16cid:durableId="1985160988">
    <w:abstractNumId w:val="0"/>
  </w:num>
  <w:num w:numId="6" w16cid:durableId="610404250">
    <w:abstractNumId w:val="5"/>
  </w:num>
  <w:num w:numId="7" w16cid:durableId="13461355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it-IT" w:vendorID="64" w:dllVersion="0" w:nlCheck="1" w:checkStyle="0"/>
  <w:activeWritingStyle w:appName="MSWord" w:lang="pl-PL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227"/>
    <w:rsid w:val="00000292"/>
    <w:rsid w:val="00003A06"/>
    <w:rsid w:val="00005F47"/>
    <w:rsid w:val="0001685A"/>
    <w:rsid w:val="0002620A"/>
    <w:rsid w:val="00041EC4"/>
    <w:rsid w:val="000454A0"/>
    <w:rsid w:val="00047191"/>
    <w:rsid w:val="00050BA8"/>
    <w:rsid w:val="00053184"/>
    <w:rsid w:val="000612A5"/>
    <w:rsid w:val="00082275"/>
    <w:rsid w:val="00086CAF"/>
    <w:rsid w:val="000A22EB"/>
    <w:rsid w:val="000A56D3"/>
    <w:rsid w:val="000B27F2"/>
    <w:rsid w:val="000B349C"/>
    <w:rsid w:val="000B7659"/>
    <w:rsid w:val="000C32EB"/>
    <w:rsid w:val="000C6390"/>
    <w:rsid w:val="000D3827"/>
    <w:rsid w:val="000D3E8B"/>
    <w:rsid w:val="000E0320"/>
    <w:rsid w:val="000F04D8"/>
    <w:rsid w:val="00113B10"/>
    <w:rsid w:val="00120DCD"/>
    <w:rsid w:val="00121541"/>
    <w:rsid w:val="00121CC7"/>
    <w:rsid w:val="001220AE"/>
    <w:rsid w:val="001349B5"/>
    <w:rsid w:val="00141343"/>
    <w:rsid w:val="00142923"/>
    <w:rsid w:val="0014792E"/>
    <w:rsid w:val="00151E38"/>
    <w:rsid w:val="001615DF"/>
    <w:rsid w:val="00164817"/>
    <w:rsid w:val="00180046"/>
    <w:rsid w:val="00186D65"/>
    <w:rsid w:val="00186ECD"/>
    <w:rsid w:val="00195EA7"/>
    <w:rsid w:val="00196398"/>
    <w:rsid w:val="001A1100"/>
    <w:rsid w:val="001B07FF"/>
    <w:rsid w:val="001B1C96"/>
    <w:rsid w:val="001C2B79"/>
    <w:rsid w:val="001C7CD8"/>
    <w:rsid w:val="001D04DD"/>
    <w:rsid w:val="001D2158"/>
    <w:rsid w:val="001D4D4D"/>
    <w:rsid w:val="001E4F86"/>
    <w:rsid w:val="001F1E94"/>
    <w:rsid w:val="001F4694"/>
    <w:rsid w:val="00203081"/>
    <w:rsid w:val="002053FF"/>
    <w:rsid w:val="002104AF"/>
    <w:rsid w:val="00217EB5"/>
    <w:rsid w:val="00231C39"/>
    <w:rsid w:val="00234D53"/>
    <w:rsid w:val="00235095"/>
    <w:rsid w:val="002356A7"/>
    <w:rsid w:val="00243E0C"/>
    <w:rsid w:val="0024470F"/>
    <w:rsid w:val="00247B4A"/>
    <w:rsid w:val="002535EF"/>
    <w:rsid w:val="00255F7C"/>
    <w:rsid w:val="00263468"/>
    <w:rsid w:val="00281E0A"/>
    <w:rsid w:val="00283DA1"/>
    <w:rsid w:val="00286AA4"/>
    <w:rsid w:val="002A66F3"/>
    <w:rsid w:val="002B32E9"/>
    <w:rsid w:val="002C7874"/>
    <w:rsid w:val="002D0723"/>
    <w:rsid w:val="002E260C"/>
    <w:rsid w:val="002E46BB"/>
    <w:rsid w:val="002E7489"/>
    <w:rsid w:val="002F7BD1"/>
    <w:rsid w:val="00310BFC"/>
    <w:rsid w:val="00320938"/>
    <w:rsid w:val="0032302A"/>
    <w:rsid w:val="00324FA3"/>
    <w:rsid w:val="003270FC"/>
    <w:rsid w:val="00330775"/>
    <w:rsid w:val="00334D27"/>
    <w:rsid w:val="003374FB"/>
    <w:rsid w:val="003419B0"/>
    <w:rsid w:val="00343423"/>
    <w:rsid w:val="00344B39"/>
    <w:rsid w:val="003472F8"/>
    <w:rsid w:val="00353F78"/>
    <w:rsid w:val="00372044"/>
    <w:rsid w:val="00382D2B"/>
    <w:rsid w:val="00382FD4"/>
    <w:rsid w:val="00383163"/>
    <w:rsid w:val="00386649"/>
    <w:rsid w:val="00390299"/>
    <w:rsid w:val="003B7E15"/>
    <w:rsid w:val="003C267B"/>
    <w:rsid w:val="003D0E1A"/>
    <w:rsid w:val="003D187E"/>
    <w:rsid w:val="003E13F6"/>
    <w:rsid w:val="003F118A"/>
    <w:rsid w:val="00400939"/>
    <w:rsid w:val="0040342D"/>
    <w:rsid w:val="00411291"/>
    <w:rsid w:val="00413EEE"/>
    <w:rsid w:val="00416502"/>
    <w:rsid w:val="0041665A"/>
    <w:rsid w:val="00420D7A"/>
    <w:rsid w:val="00423331"/>
    <w:rsid w:val="00424900"/>
    <w:rsid w:val="00434C8C"/>
    <w:rsid w:val="00442A1A"/>
    <w:rsid w:val="00442B3E"/>
    <w:rsid w:val="00447E45"/>
    <w:rsid w:val="00451648"/>
    <w:rsid w:val="004542DF"/>
    <w:rsid w:val="004549A7"/>
    <w:rsid w:val="004578D9"/>
    <w:rsid w:val="00460AF3"/>
    <w:rsid w:val="00461793"/>
    <w:rsid w:val="00465460"/>
    <w:rsid w:val="0048066F"/>
    <w:rsid w:val="00487EC3"/>
    <w:rsid w:val="0049281C"/>
    <w:rsid w:val="004961E6"/>
    <w:rsid w:val="004A1384"/>
    <w:rsid w:val="004A2B37"/>
    <w:rsid w:val="004A55A7"/>
    <w:rsid w:val="004A5BCD"/>
    <w:rsid w:val="004C569A"/>
    <w:rsid w:val="004C58C5"/>
    <w:rsid w:val="004C7F2D"/>
    <w:rsid w:val="004D754E"/>
    <w:rsid w:val="004E19E6"/>
    <w:rsid w:val="004E5DA7"/>
    <w:rsid w:val="004E6466"/>
    <w:rsid w:val="004F50A7"/>
    <w:rsid w:val="004F5CB8"/>
    <w:rsid w:val="004F7BEE"/>
    <w:rsid w:val="00500C09"/>
    <w:rsid w:val="0050280C"/>
    <w:rsid w:val="00505B05"/>
    <w:rsid w:val="00505C8D"/>
    <w:rsid w:val="0050760D"/>
    <w:rsid w:val="00511FAE"/>
    <w:rsid w:val="005127AA"/>
    <w:rsid w:val="00515006"/>
    <w:rsid w:val="00515478"/>
    <w:rsid w:val="0052200F"/>
    <w:rsid w:val="00524AB5"/>
    <w:rsid w:val="00531C33"/>
    <w:rsid w:val="005354A4"/>
    <w:rsid w:val="00535A4D"/>
    <w:rsid w:val="00536D41"/>
    <w:rsid w:val="00536DC4"/>
    <w:rsid w:val="00537D7D"/>
    <w:rsid w:val="0054351D"/>
    <w:rsid w:val="00554962"/>
    <w:rsid w:val="00554C3E"/>
    <w:rsid w:val="00555626"/>
    <w:rsid w:val="005570DF"/>
    <w:rsid w:val="00564DC8"/>
    <w:rsid w:val="005700AA"/>
    <w:rsid w:val="00571878"/>
    <w:rsid w:val="00572369"/>
    <w:rsid w:val="00573FFB"/>
    <w:rsid w:val="0057555E"/>
    <w:rsid w:val="005770C3"/>
    <w:rsid w:val="005778E1"/>
    <w:rsid w:val="00582A60"/>
    <w:rsid w:val="00586B0F"/>
    <w:rsid w:val="005935F4"/>
    <w:rsid w:val="005B6016"/>
    <w:rsid w:val="005C1DC9"/>
    <w:rsid w:val="005C3048"/>
    <w:rsid w:val="005D0C20"/>
    <w:rsid w:val="005D1102"/>
    <w:rsid w:val="005E0A63"/>
    <w:rsid w:val="005E26D3"/>
    <w:rsid w:val="005E3C8A"/>
    <w:rsid w:val="005E6E35"/>
    <w:rsid w:val="005E7A03"/>
    <w:rsid w:val="005F6440"/>
    <w:rsid w:val="005F6FF8"/>
    <w:rsid w:val="00601DD5"/>
    <w:rsid w:val="00602457"/>
    <w:rsid w:val="006079D1"/>
    <w:rsid w:val="00613D2C"/>
    <w:rsid w:val="006151D7"/>
    <w:rsid w:val="006207CE"/>
    <w:rsid w:val="006226DD"/>
    <w:rsid w:val="00623CF8"/>
    <w:rsid w:val="00624BD0"/>
    <w:rsid w:val="00632752"/>
    <w:rsid w:val="0064344A"/>
    <w:rsid w:val="006457EC"/>
    <w:rsid w:val="00646396"/>
    <w:rsid w:val="00656D23"/>
    <w:rsid w:val="006574F1"/>
    <w:rsid w:val="00661306"/>
    <w:rsid w:val="0066382B"/>
    <w:rsid w:val="0067306D"/>
    <w:rsid w:val="006841F8"/>
    <w:rsid w:val="00684811"/>
    <w:rsid w:val="00686F1F"/>
    <w:rsid w:val="00690F6F"/>
    <w:rsid w:val="00693F89"/>
    <w:rsid w:val="006A2915"/>
    <w:rsid w:val="006A57A8"/>
    <w:rsid w:val="006B3A08"/>
    <w:rsid w:val="006C1D3F"/>
    <w:rsid w:val="006C3E3D"/>
    <w:rsid w:val="006E0E1F"/>
    <w:rsid w:val="006E14BE"/>
    <w:rsid w:val="006E44FF"/>
    <w:rsid w:val="006E4F3D"/>
    <w:rsid w:val="006F6E0A"/>
    <w:rsid w:val="0070735D"/>
    <w:rsid w:val="00711A8C"/>
    <w:rsid w:val="00713967"/>
    <w:rsid w:val="00717A4F"/>
    <w:rsid w:val="0072236B"/>
    <w:rsid w:val="00730F71"/>
    <w:rsid w:val="00737CA6"/>
    <w:rsid w:val="00744AA3"/>
    <w:rsid w:val="00755663"/>
    <w:rsid w:val="00757D29"/>
    <w:rsid w:val="00764E45"/>
    <w:rsid w:val="007702D2"/>
    <w:rsid w:val="0077332A"/>
    <w:rsid w:val="00774BFE"/>
    <w:rsid w:val="00782088"/>
    <w:rsid w:val="007845DE"/>
    <w:rsid w:val="00784A0F"/>
    <w:rsid w:val="00786024"/>
    <w:rsid w:val="007874D5"/>
    <w:rsid w:val="00787B65"/>
    <w:rsid w:val="0079209A"/>
    <w:rsid w:val="007A42AE"/>
    <w:rsid w:val="007C689B"/>
    <w:rsid w:val="007E0E8F"/>
    <w:rsid w:val="007E1A84"/>
    <w:rsid w:val="007E2F7E"/>
    <w:rsid w:val="007E6006"/>
    <w:rsid w:val="007E713C"/>
    <w:rsid w:val="007F369B"/>
    <w:rsid w:val="00802B4A"/>
    <w:rsid w:val="0080550F"/>
    <w:rsid w:val="00814413"/>
    <w:rsid w:val="00822B4B"/>
    <w:rsid w:val="0083163F"/>
    <w:rsid w:val="00834A20"/>
    <w:rsid w:val="00843190"/>
    <w:rsid w:val="00847E83"/>
    <w:rsid w:val="008556FD"/>
    <w:rsid w:val="00855924"/>
    <w:rsid w:val="00870B1B"/>
    <w:rsid w:val="00873CA4"/>
    <w:rsid w:val="00875311"/>
    <w:rsid w:val="00877CEB"/>
    <w:rsid w:val="00880352"/>
    <w:rsid w:val="0088781C"/>
    <w:rsid w:val="008879F4"/>
    <w:rsid w:val="00891794"/>
    <w:rsid w:val="00893127"/>
    <w:rsid w:val="00893320"/>
    <w:rsid w:val="0089533D"/>
    <w:rsid w:val="008B3B73"/>
    <w:rsid w:val="008B5BDA"/>
    <w:rsid w:val="008C138E"/>
    <w:rsid w:val="008C1D59"/>
    <w:rsid w:val="008C6B4F"/>
    <w:rsid w:val="008E2A75"/>
    <w:rsid w:val="008E58DB"/>
    <w:rsid w:val="008E62F1"/>
    <w:rsid w:val="008F41A2"/>
    <w:rsid w:val="0091082E"/>
    <w:rsid w:val="009147C5"/>
    <w:rsid w:val="00924F64"/>
    <w:rsid w:val="009251ED"/>
    <w:rsid w:val="00926150"/>
    <w:rsid w:val="00940D26"/>
    <w:rsid w:val="0094178B"/>
    <w:rsid w:val="00941FC6"/>
    <w:rsid w:val="00950A2B"/>
    <w:rsid w:val="00951D0C"/>
    <w:rsid w:val="00956581"/>
    <w:rsid w:val="00962ED6"/>
    <w:rsid w:val="009643E9"/>
    <w:rsid w:val="00971227"/>
    <w:rsid w:val="00981456"/>
    <w:rsid w:val="009814A9"/>
    <w:rsid w:val="00990DB4"/>
    <w:rsid w:val="009934DA"/>
    <w:rsid w:val="00995977"/>
    <w:rsid w:val="009A1134"/>
    <w:rsid w:val="009A424F"/>
    <w:rsid w:val="009A5095"/>
    <w:rsid w:val="009B0ED9"/>
    <w:rsid w:val="009B51D0"/>
    <w:rsid w:val="009B5D37"/>
    <w:rsid w:val="009C1438"/>
    <w:rsid w:val="009C1846"/>
    <w:rsid w:val="009C27C4"/>
    <w:rsid w:val="009D0E99"/>
    <w:rsid w:val="009E151A"/>
    <w:rsid w:val="009E2123"/>
    <w:rsid w:val="009E3654"/>
    <w:rsid w:val="009E7710"/>
    <w:rsid w:val="009E7DE6"/>
    <w:rsid w:val="009F4F94"/>
    <w:rsid w:val="009F6B21"/>
    <w:rsid w:val="009F7F44"/>
    <w:rsid w:val="00A12715"/>
    <w:rsid w:val="00A1329C"/>
    <w:rsid w:val="00A14EBB"/>
    <w:rsid w:val="00A165F1"/>
    <w:rsid w:val="00A238DA"/>
    <w:rsid w:val="00A24150"/>
    <w:rsid w:val="00A3164F"/>
    <w:rsid w:val="00A45580"/>
    <w:rsid w:val="00A463CA"/>
    <w:rsid w:val="00A47204"/>
    <w:rsid w:val="00A47424"/>
    <w:rsid w:val="00A53C98"/>
    <w:rsid w:val="00A545E0"/>
    <w:rsid w:val="00A66B95"/>
    <w:rsid w:val="00A673D4"/>
    <w:rsid w:val="00A67657"/>
    <w:rsid w:val="00A74B29"/>
    <w:rsid w:val="00A81339"/>
    <w:rsid w:val="00A9005A"/>
    <w:rsid w:val="00A90C15"/>
    <w:rsid w:val="00A93ABA"/>
    <w:rsid w:val="00A9643E"/>
    <w:rsid w:val="00A966F6"/>
    <w:rsid w:val="00AA428F"/>
    <w:rsid w:val="00AB1C52"/>
    <w:rsid w:val="00AB21F5"/>
    <w:rsid w:val="00AB3241"/>
    <w:rsid w:val="00AB3CB9"/>
    <w:rsid w:val="00AB3E16"/>
    <w:rsid w:val="00AB7CBF"/>
    <w:rsid w:val="00AC7752"/>
    <w:rsid w:val="00AC7F67"/>
    <w:rsid w:val="00AE6199"/>
    <w:rsid w:val="00AF4278"/>
    <w:rsid w:val="00B0026C"/>
    <w:rsid w:val="00B03987"/>
    <w:rsid w:val="00B07EBA"/>
    <w:rsid w:val="00B12934"/>
    <w:rsid w:val="00B12E8A"/>
    <w:rsid w:val="00B13E36"/>
    <w:rsid w:val="00B15D10"/>
    <w:rsid w:val="00B257A4"/>
    <w:rsid w:val="00B2605A"/>
    <w:rsid w:val="00B275A5"/>
    <w:rsid w:val="00B402BC"/>
    <w:rsid w:val="00B41993"/>
    <w:rsid w:val="00B44882"/>
    <w:rsid w:val="00B530C3"/>
    <w:rsid w:val="00B56185"/>
    <w:rsid w:val="00B643B3"/>
    <w:rsid w:val="00B67B78"/>
    <w:rsid w:val="00B74B8A"/>
    <w:rsid w:val="00B93FB9"/>
    <w:rsid w:val="00B97304"/>
    <w:rsid w:val="00BA1D5C"/>
    <w:rsid w:val="00BA5976"/>
    <w:rsid w:val="00BB282F"/>
    <w:rsid w:val="00BB6711"/>
    <w:rsid w:val="00BC0F74"/>
    <w:rsid w:val="00BC29D0"/>
    <w:rsid w:val="00BD23D1"/>
    <w:rsid w:val="00BD3A60"/>
    <w:rsid w:val="00BD4B8A"/>
    <w:rsid w:val="00BD6FF9"/>
    <w:rsid w:val="00BE042E"/>
    <w:rsid w:val="00BE2CDB"/>
    <w:rsid w:val="00C03C91"/>
    <w:rsid w:val="00C07CBD"/>
    <w:rsid w:val="00C10065"/>
    <w:rsid w:val="00C13BC7"/>
    <w:rsid w:val="00C1437D"/>
    <w:rsid w:val="00C144EE"/>
    <w:rsid w:val="00C162B6"/>
    <w:rsid w:val="00C2148C"/>
    <w:rsid w:val="00C33DAC"/>
    <w:rsid w:val="00C37276"/>
    <w:rsid w:val="00C3754B"/>
    <w:rsid w:val="00C415EA"/>
    <w:rsid w:val="00C436B1"/>
    <w:rsid w:val="00C52993"/>
    <w:rsid w:val="00C53A03"/>
    <w:rsid w:val="00C55CC1"/>
    <w:rsid w:val="00C618C0"/>
    <w:rsid w:val="00C653DE"/>
    <w:rsid w:val="00C66371"/>
    <w:rsid w:val="00C677C6"/>
    <w:rsid w:val="00C70ECE"/>
    <w:rsid w:val="00C712F8"/>
    <w:rsid w:val="00C753AC"/>
    <w:rsid w:val="00C76519"/>
    <w:rsid w:val="00C81978"/>
    <w:rsid w:val="00C97BB5"/>
    <w:rsid w:val="00CA2EB1"/>
    <w:rsid w:val="00CA7841"/>
    <w:rsid w:val="00CB0A97"/>
    <w:rsid w:val="00CB6A08"/>
    <w:rsid w:val="00CC0AE3"/>
    <w:rsid w:val="00CC2078"/>
    <w:rsid w:val="00CC5306"/>
    <w:rsid w:val="00CC68F4"/>
    <w:rsid w:val="00CD0220"/>
    <w:rsid w:val="00CD5AF0"/>
    <w:rsid w:val="00CD5DE4"/>
    <w:rsid w:val="00CD710D"/>
    <w:rsid w:val="00CF1EC5"/>
    <w:rsid w:val="00D07C95"/>
    <w:rsid w:val="00D139C2"/>
    <w:rsid w:val="00D1491F"/>
    <w:rsid w:val="00D23533"/>
    <w:rsid w:val="00D23705"/>
    <w:rsid w:val="00D30E19"/>
    <w:rsid w:val="00D33456"/>
    <w:rsid w:val="00D36F88"/>
    <w:rsid w:val="00D6263E"/>
    <w:rsid w:val="00D64834"/>
    <w:rsid w:val="00D74F23"/>
    <w:rsid w:val="00D77DB5"/>
    <w:rsid w:val="00D90235"/>
    <w:rsid w:val="00D90AD8"/>
    <w:rsid w:val="00D9367D"/>
    <w:rsid w:val="00D940E7"/>
    <w:rsid w:val="00D95254"/>
    <w:rsid w:val="00D953AA"/>
    <w:rsid w:val="00D97EEC"/>
    <w:rsid w:val="00DA212D"/>
    <w:rsid w:val="00DA577D"/>
    <w:rsid w:val="00DB4050"/>
    <w:rsid w:val="00DB4A4F"/>
    <w:rsid w:val="00DC0B8A"/>
    <w:rsid w:val="00DC59A9"/>
    <w:rsid w:val="00DD1EEF"/>
    <w:rsid w:val="00DD5D56"/>
    <w:rsid w:val="00DD6F42"/>
    <w:rsid w:val="00DD746F"/>
    <w:rsid w:val="00DD761E"/>
    <w:rsid w:val="00DE12EA"/>
    <w:rsid w:val="00DE1BEB"/>
    <w:rsid w:val="00DE58A3"/>
    <w:rsid w:val="00DF02A7"/>
    <w:rsid w:val="00E01344"/>
    <w:rsid w:val="00E05574"/>
    <w:rsid w:val="00E12483"/>
    <w:rsid w:val="00E17AC7"/>
    <w:rsid w:val="00E24B44"/>
    <w:rsid w:val="00E26691"/>
    <w:rsid w:val="00E312B0"/>
    <w:rsid w:val="00E3603F"/>
    <w:rsid w:val="00E40497"/>
    <w:rsid w:val="00E46B02"/>
    <w:rsid w:val="00E52043"/>
    <w:rsid w:val="00E62B74"/>
    <w:rsid w:val="00E6447A"/>
    <w:rsid w:val="00E67857"/>
    <w:rsid w:val="00E735E7"/>
    <w:rsid w:val="00E80D30"/>
    <w:rsid w:val="00E82934"/>
    <w:rsid w:val="00E907B4"/>
    <w:rsid w:val="00E923F6"/>
    <w:rsid w:val="00E93F34"/>
    <w:rsid w:val="00EA7524"/>
    <w:rsid w:val="00EB5C08"/>
    <w:rsid w:val="00EC2734"/>
    <w:rsid w:val="00EE5208"/>
    <w:rsid w:val="00F01880"/>
    <w:rsid w:val="00F06228"/>
    <w:rsid w:val="00F07590"/>
    <w:rsid w:val="00F13EB0"/>
    <w:rsid w:val="00F14BF0"/>
    <w:rsid w:val="00F21460"/>
    <w:rsid w:val="00F2292C"/>
    <w:rsid w:val="00F23EF8"/>
    <w:rsid w:val="00F27396"/>
    <w:rsid w:val="00F3129F"/>
    <w:rsid w:val="00F34302"/>
    <w:rsid w:val="00F34562"/>
    <w:rsid w:val="00F402C3"/>
    <w:rsid w:val="00F445ED"/>
    <w:rsid w:val="00F5055C"/>
    <w:rsid w:val="00F5220A"/>
    <w:rsid w:val="00F535CF"/>
    <w:rsid w:val="00F557B5"/>
    <w:rsid w:val="00F61976"/>
    <w:rsid w:val="00F74B17"/>
    <w:rsid w:val="00F82E67"/>
    <w:rsid w:val="00FA12A8"/>
    <w:rsid w:val="00FA21ED"/>
    <w:rsid w:val="00FA50A6"/>
    <w:rsid w:val="00FB1E55"/>
    <w:rsid w:val="00FB1F7C"/>
    <w:rsid w:val="00FB744B"/>
    <w:rsid w:val="00FC0393"/>
    <w:rsid w:val="00FC5050"/>
    <w:rsid w:val="00FC5655"/>
    <w:rsid w:val="00FF222B"/>
    <w:rsid w:val="00FF300F"/>
    <w:rsid w:val="00FF57DF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F8FCC"/>
  <w15:docId w15:val="{A8FFFF43-541B-4821-B77D-021D0D37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pl-PL" w:eastAsia="it-IT" w:bidi="ar-SA"/>
      </w:rPr>
    </w:rPrDefault>
    <w:pPrDefault>
      <w:pPr>
        <w:spacing w:line="2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56D23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F535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35CF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5CF"/>
    <w:rPr>
      <w:rFonts w:ascii="Segoe UI" w:hAnsi="Segoe UI" w:cs="Segoe UI"/>
    </w:rPr>
  </w:style>
  <w:style w:type="character" w:styleId="Hipercze">
    <w:name w:val="Hyperlink"/>
    <w:basedOn w:val="Domylnaczcionkaakapitu"/>
    <w:uiPriority w:val="99"/>
    <w:unhideWhenUsed/>
    <w:rsid w:val="003F118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4A2B37"/>
    <w:pP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535EF"/>
    <w:pPr>
      <w:tabs>
        <w:tab w:val="center" w:pos="4819"/>
        <w:tab w:val="right" w:pos="9638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5EF"/>
  </w:style>
  <w:style w:type="paragraph" w:styleId="Stopka">
    <w:name w:val="footer"/>
    <w:basedOn w:val="Normalny"/>
    <w:link w:val="StopkaZnak"/>
    <w:uiPriority w:val="99"/>
    <w:unhideWhenUsed/>
    <w:rsid w:val="002535EF"/>
    <w:pPr>
      <w:tabs>
        <w:tab w:val="center" w:pos="4819"/>
        <w:tab w:val="right" w:pos="9638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5EF"/>
  </w:style>
  <w:style w:type="character" w:styleId="Odwoaniedokomentarza">
    <w:name w:val="annotation reference"/>
    <w:basedOn w:val="Domylnaczcionkaakapitu"/>
    <w:uiPriority w:val="99"/>
    <w:semiHidden/>
    <w:unhideWhenUsed/>
    <w:rsid w:val="005E0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A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A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A63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03A06"/>
    <w:rPr>
      <w:b/>
      <w:bCs/>
    </w:rPr>
  </w:style>
  <w:style w:type="paragraph" w:customStyle="1" w:styleId="01TEXT">
    <w:name w:val="01_TEXT"/>
    <w:basedOn w:val="Normalny"/>
    <w:rsid w:val="005354A4"/>
    <w:pPr>
      <w:spacing w:line="280" w:lineRule="exact"/>
    </w:pPr>
    <w:rPr>
      <w:rFonts w:eastAsia="Times New Roman" w:cs="Times New Roman"/>
      <w:color w:val="000000"/>
      <w:szCs w:val="14"/>
    </w:rPr>
  </w:style>
  <w:style w:type="paragraph" w:styleId="NormalnyWeb">
    <w:name w:val="Normal (Web)"/>
    <w:basedOn w:val="Normalny"/>
    <w:uiPriority w:val="99"/>
    <w:semiHidden/>
    <w:unhideWhenUsed/>
    <w:rsid w:val="002E260C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8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8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85A"/>
    <w:rPr>
      <w:vertAlign w:val="superscript"/>
    </w:rPr>
  </w:style>
  <w:style w:type="paragraph" w:customStyle="1" w:styleId="SDatePlace">
    <w:name w:val="S_Date + Place"/>
    <w:basedOn w:val="Normalny"/>
    <w:qFormat/>
    <w:rsid w:val="00BC0F74"/>
    <w:pPr>
      <w:spacing w:after="240" w:line="240" w:lineRule="auto"/>
    </w:pPr>
    <w:rPr>
      <w:rFonts w:asciiTheme="minorHAnsi" w:eastAsiaTheme="minorHAnsi" w:hAnsiTheme="minorHAnsi" w:cstheme="minorBidi"/>
      <w:sz w:val="24"/>
      <w:lang w:eastAsia="en-US"/>
    </w:rPr>
  </w:style>
  <w:style w:type="character" w:styleId="Uwydatnienie">
    <w:name w:val="Emphasis"/>
    <w:basedOn w:val="Domylnaczcionkaakapitu"/>
    <w:uiPriority w:val="20"/>
    <w:qFormat/>
    <w:rsid w:val="00BC0F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8C0DF1-4D02-4948-99B0-B76B2ECD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2715</Words>
  <Characters>16290</Characters>
  <Application>Microsoft Office Word</Application>
  <DocSecurity>0</DocSecurity>
  <Lines>135</Lines>
  <Paragraphs>37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FIAT Group</Company>
  <LinksUpToDate>false</LinksUpToDate>
  <CharactersWithSpaces>18968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Carelli</dc:creator>
  <cp:lastModifiedBy>Ola Gasowska</cp:lastModifiedBy>
  <cp:revision>13</cp:revision>
  <cp:lastPrinted>2023-04-03T13:35:00Z</cp:lastPrinted>
  <dcterms:created xsi:type="dcterms:W3CDTF">2023-04-03T12:29:00Z</dcterms:created>
  <dcterms:modified xsi:type="dcterms:W3CDTF">2023-04-05T20:09:00Z</dcterms:modified>
</cp:coreProperties>
</file>